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62558B">
        <w:trPr>
          <w:trHeight w:val="852"/>
          <w:jc w:val="center"/>
        </w:trPr>
        <w:tc>
          <w:tcPr>
            <w:tcW w:w="6940" w:type="dxa"/>
            <w:vMerge w:val="restart"/>
            <w:tcBorders>
              <w:right w:val="single" w:sz="4" w:space="0" w:color="auto"/>
            </w:tcBorders>
          </w:tcPr>
          <w:p w14:paraId="38C3D2BA" w14:textId="28E50A85" w:rsidR="000A03B2" w:rsidRPr="00B57B36" w:rsidRDefault="000A03B2" w:rsidP="00DE264A">
            <w:pPr>
              <w:tabs>
                <w:tab w:val="left" w:pos="-108"/>
              </w:tabs>
              <w:ind w:left="-108"/>
              <w:jc w:val="left"/>
              <w:rPr>
                <w:rFonts w:cs="Arial"/>
                <w:b/>
                <w:bCs/>
                <w:i/>
                <w:iCs/>
                <w:color w:val="000066"/>
                <w:sz w:val="12"/>
                <w:szCs w:val="12"/>
                <w:lang w:eastAsia="it-IT"/>
              </w:rPr>
            </w:pPr>
            <w:bookmarkStart w:id="0" w:name="_Hlk153883867"/>
            <w:bookmarkEnd w:id="0"/>
            <w:r w:rsidRPr="00B57B36">
              <w:rPr>
                <w:rFonts w:ascii="AdvP6960" w:hAnsi="AdvP6960" w:cs="AdvP6960"/>
                <w:noProof/>
                <w:color w:val="241F20"/>
                <w:szCs w:val="18"/>
                <w:lang w:val="it-IT" w:eastAsia="it-IT"/>
              </w:rPr>
              <w:drawing>
                <wp:inline distT="0" distB="0" distL="0" distR="0" wp14:anchorId="02B7C3D3" wp14:editId="75D14D4E">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62558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62558B">
        <w:trPr>
          <w:trHeight w:val="68"/>
          <w:jc w:val="center"/>
        </w:trPr>
        <w:tc>
          <w:tcPr>
            <w:tcW w:w="8782"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1CDEFB2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1244EE6" w:rsidR="00E978D0" w:rsidRPr="00B57B36" w:rsidRDefault="0062558B" w:rsidP="00E978D0">
      <w:pPr>
        <w:pStyle w:val="CETTitle"/>
      </w:pPr>
      <w:r w:rsidRPr="0062558B">
        <w:t>Comparison of Novel and Commercial Catalysts for the Steam Reforming of Tar Obtained from Biomass Gasification</w:t>
      </w:r>
    </w:p>
    <w:p w14:paraId="0488FED2" w14:textId="1A0628B4" w:rsidR="00B57E6F" w:rsidRPr="0062558B" w:rsidRDefault="0062558B" w:rsidP="00B57E6F">
      <w:pPr>
        <w:pStyle w:val="CETAuthors"/>
        <w:rPr>
          <w:color w:val="000000" w:themeColor="text1"/>
          <w:lang w:val="it-IT"/>
        </w:rPr>
      </w:pPr>
      <w:r w:rsidRPr="0062558B">
        <w:rPr>
          <w:color w:val="000000" w:themeColor="text1"/>
          <w:lang w:val="it-IT"/>
        </w:rPr>
        <w:t>Andrea Di Carlo</w:t>
      </w:r>
      <w:r w:rsidRPr="0062558B">
        <w:rPr>
          <w:color w:val="000000" w:themeColor="text1"/>
          <w:vertAlign w:val="superscript"/>
          <w:lang w:val="it-IT"/>
        </w:rPr>
        <w:t>a</w:t>
      </w:r>
      <w:r w:rsidRPr="0062558B">
        <w:rPr>
          <w:color w:val="000000" w:themeColor="text1"/>
          <w:lang w:val="it-IT"/>
        </w:rPr>
        <w:t>, Alessandro Antonio Papa</w:t>
      </w:r>
      <w:r w:rsidRPr="0062558B">
        <w:rPr>
          <w:color w:val="000000" w:themeColor="text1"/>
          <w:vertAlign w:val="superscript"/>
          <w:lang w:val="it-IT"/>
        </w:rPr>
        <w:t>a</w:t>
      </w:r>
      <w:r w:rsidR="00C37EA2" w:rsidRPr="00C37EA2">
        <w:rPr>
          <w:color w:val="000000" w:themeColor="text1"/>
          <w:lang w:val="it-IT"/>
        </w:rPr>
        <w:t>*</w:t>
      </w:r>
      <w:r w:rsidRPr="0062558B">
        <w:rPr>
          <w:color w:val="000000" w:themeColor="text1"/>
          <w:lang w:val="it-IT"/>
        </w:rPr>
        <w:t>, Manfred Nacken</w:t>
      </w:r>
      <w:r w:rsidRPr="0062558B">
        <w:rPr>
          <w:color w:val="000000" w:themeColor="text1"/>
          <w:vertAlign w:val="superscript"/>
          <w:lang w:val="it-IT"/>
        </w:rPr>
        <w:t>b</w:t>
      </w:r>
    </w:p>
    <w:p w14:paraId="26105257" w14:textId="15FA4C73" w:rsidR="0062558B" w:rsidRPr="0062558B" w:rsidRDefault="00B57E6F" w:rsidP="0062558B">
      <w:pPr>
        <w:pStyle w:val="CETAddress"/>
        <w:rPr>
          <w:rFonts w:cs="Arial"/>
          <w:color w:val="000000" w:themeColor="text1"/>
          <w:szCs w:val="16"/>
          <w:lang w:val="it-IT"/>
        </w:rPr>
      </w:pPr>
      <w:r w:rsidRPr="0062558B">
        <w:rPr>
          <w:color w:val="000000" w:themeColor="text1"/>
          <w:vertAlign w:val="superscript"/>
          <w:lang w:val="it-IT"/>
        </w:rPr>
        <w:t>a</w:t>
      </w:r>
      <w:r w:rsidR="0062558B" w:rsidRPr="0062558B">
        <w:rPr>
          <w:rFonts w:cs="Arial"/>
          <w:color w:val="000000" w:themeColor="text1"/>
          <w:szCs w:val="16"/>
          <w:lang w:val="it-IT"/>
        </w:rPr>
        <w:t xml:space="preserve"> </w:t>
      </w:r>
      <w:r w:rsidR="0062558B" w:rsidRPr="008003F7">
        <w:rPr>
          <w:rFonts w:cs="Arial"/>
          <w:color w:val="000000" w:themeColor="text1"/>
          <w:szCs w:val="16"/>
          <w:lang w:val="it-IT"/>
        </w:rPr>
        <w:t>Dipartimento di Ingegneria Industriale dell’Infor</w:t>
      </w:r>
      <w:r w:rsidR="0062558B" w:rsidRPr="0062558B">
        <w:rPr>
          <w:rFonts w:cs="Arial"/>
          <w:color w:val="000000" w:themeColor="text1"/>
          <w:szCs w:val="16"/>
          <w:lang w:val="it-IT"/>
        </w:rPr>
        <w:t>mazione e di Economia,</w:t>
      </w:r>
      <w:r w:rsidR="0062558B" w:rsidRPr="008003F7">
        <w:rPr>
          <w:rFonts w:cs="Arial"/>
          <w:color w:val="000000" w:themeColor="text1"/>
          <w:szCs w:val="16"/>
          <w:lang w:val="it-IT"/>
        </w:rPr>
        <w:t xml:space="preserve"> </w:t>
      </w:r>
      <w:r w:rsidR="0062558B" w:rsidRPr="0062558B">
        <w:rPr>
          <w:rFonts w:cs="Arial"/>
          <w:color w:val="000000" w:themeColor="text1"/>
          <w:szCs w:val="16"/>
          <w:lang w:val="it-IT"/>
        </w:rPr>
        <w:t xml:space="preserve">Università degli Studi dell’Aquila, Piazzale E.  </w:t>
      </w:r>
    </w:p>
    <w:p w14:paraId="5B339C5C" w14:textId="77777777" w:rsidR="0062558B" w:rsidRDefault="0062558B" w:rsidP="0062558B">
      <w:pPr>
        <w:pStyle w:val="CETAddress"/>
        <w:rPr>
          <w:color w:val="000000" w:themeColor="text1"/>
          <w:lang w:val="it-IT"/>
        </w:rPr>
      </w:pPr>
      <w:r w:rsidRPr="0062558B">
        <w:rPr>
          <w:rFonts w:cs="Arial"/>
          <w:color w:val="000000" w:themeColor="text1"/>
          <w:szCs w:val="16"/>
          <w:lang w:val="it-IT"/>
        </w:rPr>
        <w:t xml:space="preserve"> Pontieri 1, Monteluco di Roio, 67,100 L’Aquila, Italy</w:t>
      </w:r>
      <w:r w:rsidRPr="0062558B">
        <w:rPr>
          <w:color w:val="000000" w:themeColor="text1"/>
          <w:lang w:val="it-IT"/>
        </w:rPr>
        <w:t xml:space="preserve"> </w:t>
      </w:r>
    </w:p>
    <w:p w14:paraId="326BF96B" w14:textId="597716BF" w:rsidR="003E33B5" w:rsidRPr="008003F7" w:rsidRDefault="00B57E6F" w:rsidP="0062558B">
      <w:pPr>
        <w:pStyle w:val="CETAddress"/>
        <w:rPr>
          <w:color w:val="000000" w:themeColor="text1"/>
        </w:rPr>
      </w:pPr>
      <w:r w:rsidRPr="0062558B">
        <w:rPr>
          <w:color w:val="000000" w:themeColor="text1"/>
          <w:vertAlign w:val="superscript"/>
          <w:lang w:val="en-US"/>
        </w:rPr>
        <w:t>b</w:t>
      </w:r>
      <w:r w:rsidR="0062558B" w:rsidRPr="0062558B">
        <w:rPr>
          <w:color w:val="000000" w:themeColor="text1"/>
        </w:rPr>
        <w:t xml:space="preserve"> </w:t>
      </w:r>
      <w:r w:rsidR="0062558B" w:rsidRPr="008003F7">
        <w:rPr>
          <w:color w:val="000000" w:themeColor="text1"/>
        </w:rPr>
        <w:t>C&amp;CS catalysts and chemical specialties GmbH, Georg-Wimmer-Ring 25, D-85604 Zorneding, Germany</w:t>
      </w:r>
    </w:p>
    <w:p w14:paraId="73F1267A" w14:textId="1D912B1A" w:rsidR="00B57E6F" w:rsidRPr="008003F7" w:rsidRDefault="0062558B" w:rsidP="00B57E6F">
      <w:pPr>
        <w:pStyle w:val="CETemail"/>
        <w:rPr>
          <w:color w:val="000000" w:themeColor="text1"/>
        </w:rPr>
      </w:pPr>
      <w:r w:rsidRPr="0062558B">
        <w:rPr>
          <w:color w:val="000000" w:themeColor="text1"/>
          <w:lang w:val="en-US"/>
        </w:rPr>
        <w:t>alessandroantonio.papa@univaq.it</w:t>
      </w:r>
    </w:p>
    <w:p w14:paraId="64A0A2D6" w14:textId="24B4203F" w:rsidR="003E33B5" w:rsidRPr="0048707D" w:rsidRDefault="0048707D" w:rsidP="00450844">
      <w:pPr>
        <w:pStyle w:val="CETBodytext"/>
        <w:rPr>
          <w:color w:val="000000" w:themeColor="text1"/>
          <w:lang w:val="en-GB"/>
        </w:rPr>
      </w:pPr>
      <w:r w:rsidRPr="0048707D">
        <w:rPr>
          <w:color w:val="000000" w:themeColor="text1"/>
          <w:lang w:val="en-GB"/>
        </w:rPr>
        <w:t>The h</w:t>
      </w:r>
      <w:r w:rsidR="003220FF" w:rsidRPr="0048707D">
        <w:rPr>
          <w:color w:val="000000" w:themeColor="text1"/>
          <w:lang w:val="en-GB"/>
        </w:rPr>
        <w:t xml:space="preserve">ot gas cleaning and conditioning unit represents a crucial </w:t>
      </w:r>
      <w:r w:rsidR="00D94589">
        <w:rPr>
          <w:color w:val="000000" w:themeColor="text1"/>
          <w:lang w:val="en-GB"/>
        </w:rPr>
        <w:t>step</w:t>
      </w:r>
      <w:r w:rsidR="003220FF" w:rsidRPr="0048707D">
        <w:rPr>
          <w:color w:val="000000" w:themeColor="text1"/>
          <w:lang w:val="en-GB"/>
        </w:rPr>
        <w:t xml:space="preserve"> </w:t>
      </w:r>
      <w:r w:rsidR="00D94589">
        <w:rPr>
          <w:color w:val="000000" w:themeColor="text1"/>
          <w:lang w:val="en-GB"/>
        </w:rPr>
        <w:t>in</w:t>
      </w:r>
      <w:r w:rsidR="003220FF" w:rsidRPr="0048707D">
        <w:rPr>
          <w:color w:val="000000" w:themeColor="text1"/>
          <w:lang w:val="en-GB"/>
        </w:rPr>
        <w:t xml:space="preserve"> the biomass gasification process to </w:t>
      </w:r>
      <w:r w:rsidRPr="0048707D">
        <w:rPr>
          <w:color w:val="000000" w:themeColor="text1"/>
          <w:lang w:val="en-GB"/>
        </w:rPr>
        <w:t>achieve</w:t>
      </w:r>
      <w:r w:rsidR="003220FF" w:rsidRPr="0048707D">
        <w:rPr>
          <w:color w:val="000000" w:themeColor="text1"/>
          <w:lang w:val="en-GB"/>
        </w:rPr>
        <w:t xml:space="preserve"> the</w:t>
      </w:r>
      <w:r w:rsidRPr="0048707D">
        <w:rPr>
          <w:color w:val="000000" w:themeColor="text1"/>
          <w:lang w:val="en-GB"/>
        </w:rPr>
        <w:t xml:space="preserve"> quality of the</w:t>
      </w:r>
      <w:r w:rsidR="003220FF" w:rsidRPr="0048707D">
        <w:rPr>
          <w:color w:val="000000" w:themeColor="text1"/>
          <w:lang w:val="en-GB"/>
        </w:rPr>
        <w:t xml:space="preserve"> </w:t>
      </w:r>
      <w:r w:rsidRPr="0048707D">
        <w:rPr>
          <w:color w:val="000000" w:themeColor="text1"/>
          <w:lang w:val="en-GB"/>
        </w:rPr>
        <w:t>syn</w:t>
      </w:r>
      <w:r w:rsidR="003220FF" w:rsidRPr="0048707D">
        <w:rPr>
          <w:color w:val="000000" w:themeColor="text1"/>
          <w:lang w:val="en-GB"/>
        </w:rPr>
        <w:t xml:space="preserve">gas required </w:t>
      </w:r>
      <w:r w:rsidRPr="0048707D">
        <w:rPr>
          <w:color w:val="000000" w:themeColor="text1"/>
          <w:lang w:val="en-GB"/>
        </w:rPr>
        <w:t>for</w:t>
      </w:r>
      <w:r w:rsidR="003220FF" w:rsidRPr="0048707D">
        <w:rPr>
          <w:color w:val="000000" w:themeColor="text1"/>
          <w:lang w:val="en-GB"/>
        </w:rPr>
        <w:t xml:space="preserve"> downstream processes. </w:t>
      </w:r>
      <w:r w:rsidRPr="0048707D">
        <w:rPr>
          <w:color w:val="000000" w:themeColor="text1"/>
          <w:lang w:val="en-GB"/>
        </w:rPr>
        <w:t>Catalyst-filled f</w:t>
      </w:r>
      <w:r w:rsidR="003220FF" w:rsidRPr="0048707D">
        <w:rPr>
          <w:color w:val="000000" w:themeColor="text1"/>
          <w:lang w:val="en-GB"/>
        </w:rPr>
        <w:t>ilter candles can be used to convert tar and remove particulate matter. In this work, a laboratory-scale packed bed reactor was used to evaluate the performance of a novel patented Ni-based tar reforming catalyst</w:t>
      </w:r>
      <w:r w:rsidR="00470FDB">
        <w:rPr>
          <w:color w:val="000000" w:themeColor="text1"/>
          <w:lang w:val="en-GB"/>
        </w:rPr>
        <w:t xml:space="preserve"> (</w:t>
      </w:r>
      <w:r w:rsidR="00470FDB" w:rsidRPr="00FC3E7B">
        <w:rPr>
          <w:lang w:val="en-GB"/>
        </w:rPr>
        <w:t>C&amp;CS #1050 B</w:t>
      </w:r>
      <w:r w:rsidR="00470FDB">
        <w:rPr>
          <w:lang w:val="en-GB"/>
        </w:rPr>
        <w:t>)</w:t>
      </w:r>
      <w:r w:rsidR="003220FF" w:rsidRPr="0048707D">
        <w:rPr>
          <w:color w:val="000000" w:themeColor="text1"/>
          <w:lang w:val="en-GB"/>
        </w:rPr>
        <w:t>.</w:t>
      </w:r>
      <w:r w:rsidR="003E33B5" w:rsidRPr="0048707D">
        <w:rPr>
          <w:color w:val="000000" w:themeColor="text1"/>
          <w:lang w:val="en-GB"/>
        </w:rPr>
        <w:t xml:space="preserve"> </w:t>
      </w:r>
      <w:r w:rsidRPr="0048707D">
        <w:rPr>
          <w:color w:val="000000" w:themeColor="text1"/>
          <w:lang w:val="en-GB"/>
        </w:rPr>
        <w:t>To simulate the impurities of the syngas, a</w:t>
      </w:r>
      <w:r w:rsidR="003E33B5" w:rsidRPr="0048707D">
        <w:rPr>
          <w:color w:val="000000" w:themeColor="text1"/>
          <w:lang w:val="en-GB"/>
        </w:rPr>
        <w:t xml:space="preserve"> solution of naphthalene, toluene and thiophene</w:t>
      </w:r>
      <w:r w:rsidR="00C53574" w:rsidRPr="0048707D">
        <w:rPr>
          <w:color w:val="000000" w:themeColor="text1"/>
          <w:lang w:val="en-GB"/>
        </w:rPr>
        <w:t xml:space="preserve"> </w:t>
      </w:r>
      <w:r w:rsidR="003E33B5" w:rsidRPr="0048707D">
        <w:rPr>
          <w:color w:val="000000" w:themeColor="text1"/>
          <w:lang w:val="en-GB"/>
        </w:rPr>
        <w:t>(as equivalent H</w:t>
      </w:r>
      <w:r w:rsidR="003E33B5" w:rsidRPr="0048707D">
        <w:rPr>
          <w:color w:val="000000" w:themeColor="text1"/>
          <w:vertAlign w:val="subscript"/>
          <w:lang w:val="en-GB"/>
        </w:rPr>
        <w:t>2</w:t>
      </w:r>
      <w:r w:rsidR="003E33B5" w:rsidRPr="0048707D">
        <w:rPr>
          <w:color w:val="000000" w:themeColor="text1"/>
          <w:lang w:val="en-GB"/>
        </w:rPr>
        <w:t xml:space="preserve">S) </w:t>
      </w:r>
      <w:r w:rsidRPr="0048707D">
        <w:rPr>
          <w:color w:val="000000" w:themeColor="text1"/>
          <w:lang w:val="en-GB"/>
        </w:rPr>
        <w:t>was</w:t>
      </w:r>
      <w:r w:rsidR="003E33B5" w:rsidRPr="0048707D">
        <w:rPr>
          <w:color w:val="000000" w:themeColor="text1"/>
          <w:lang w:val="en-GB"/>
        </w:rPr>
        <w:t xml:space="preserve"> selected.</w:t>
      </w:r>
      <w:r w:rsidR="003645C7">
        <w:rPr>
          <w:color w:val="000000" w:themeColor="text1"/>
          <w:lang w:val="en-GB"/>
        </w:rPr>
        <w:t xml:space="preserve"> </w:t>
      </w:r>
      <w:r w:rsidR="003E33B5" w:rsidRPr="0048707D">
        <w:rPr>
          <w:color w:val="000000" w:themeColor="text1"/>
          <w:lang w:val="en-GB"/>
        </w:rPr>
        <w:t>The steam reforming tests were carried out with a tar content of 13 g/Nm</w:t>
      </w:r>
      <w:r w:rsidR="003E33B5" w:rsidRPr="0048707D">
        <w:rPr>
          <w:color w:val="000000" w:themeColor="text1"/>
          <w:vertAlign w:val="superscript"/>
          <w:lang w:val="en-GB"/>
        </w:rPr>
        <w:t>3</w:t>
      </w:r>
      <w:r w:rsidR="003E33B5" w:rsidRPr="0048707D">
        <w:rPr>
          <w:color w:val="000000" w:themeColor="text1"/>
          <w:lang w:val="en-GB"/>
        </w:rPr>
        <w:t>, two gas hourly space velocit</w:t>
      </w:r>
      <w:r w:rsidR="00D94589">
        <w:rPr>
          <w:color w:val="000000" w:themeColor="text1"/>
          <w:lang w:val="en-GB"/>
        </w:rPr>
        <w:t>ies</w:t>
      </w:r>
      <w:r w:rsidR="003E33B5" w:rsidRPr="0048707D">
        <w:rPr>
          <w:color w:val="000000" w:themeColor="text1"/>
          <w:lang w:val="en-GB"/>
        </w:rPr>
        <w:t xml:space="preserve"> (6000 and 13000 h</w:t>
      </w:r>
      <w:r w:rsidR="003E33B5" w:rsidRPr="0048707D">
        <w:rPr>
          <w:color w:val="000000" w:themeColor="text1"/>
          <w:vertAlign w:val="superscript"/>
          <w:lang w:val="en-GB"/>
        </w:rPr>
        <w:t>-1</w:t>
      </w:r>
      <w:r w:rsidR="003E33B5" w:rsidRPr="0048707D">
        <w:rPr>
          <w:color w:val="000000" w:themeColor="text1"/>
          <w:lang w:val="en-GB"/>
        </w:rPr>
        <w:t xml:space="preserve">), two thiophene </w:t>
      </w:r>
      <w:r w:rsidR="00C53574" w:rsidRPr="0048707D">
        <w:rPr>
          <w:color w:val="000000" w:themeColor="text1"/>
          <w:lang w:val="en-GB"/>
        </w:rPr>
        <w:t>content</w:t>
      </w:r>
      <w:r w:rsidRPr="0048707D">
        <w:rPr>
          <w:color w:val="000000" w:themeColor="text1"/>
          <w:lang w:val="en-GB"/>
        </w:rPr>
        <w:t>s</w:t>
      </w:r>
      <w:r w:rsidR="00C53574" w:rsidRPr="0048707D">
        <w:rPr>
          <w:color w:val="000000" w:themeColor="text1"/>
          <w:lang w:val="en-GB"/>
        </w:rPr>
        <w:t xml:space="preserve"> (</w:t>
      </w:r>
      <w:r w:rsidR="00470FDB">
        <w:rPr>
          <w:color w:val="000000" w:themeColor="text1"/>
          <w:lang w:val="en-GB"/>
        </w:rPr>
        <w:t xml:space="preserve">equivalent to </w:t>
      </w:r>
      <w:r w:rsidR="003E33B5" w:rsidRPr="0048707D">
        <w:rPr>
          <w:color w:val="000000" w:themeColor="text1"/>
          <w:lang w:val="en-GB"/>
        </w:rPr>
        <w:t xml:space="preserve">50 and 100 </w:t>
      </w:r>
      <w:proofErr w:type="spellStart"/>
      <w:r w:rsidR="003E33B5" w:rsidRPr="0048707D">
        <w:rPr>
          <w:color w:val="000000" w:themeColor="text1"/>
          <w:lang w:val="en-GB"/>
        </w:rPr>
        <w:t>ppm</w:t>
      </w:r>
      <w:r w:rsidR="00D94589">
        <w:rPr>
          <w:color w:val="000000" w:themeColor="text1"/>
          <w:lang w:val="en-GB"/>
        </w:rPr>
        <w:t>v</w:t>
      </w:r>
      <w:proofErr w:type="spellEnd"/>
      <w:r w:rsidR="00470FDB">
        <w:rPr>
          <w:color w:val="000000" w:themeColor="text1"/>
          <w:lang w:val="en-GB"/>
        </w:rPr>
        <w:t xml:space="preserve"> of H</w:t>
      </w:r>
      <w:r w:rsidR="00470FDB" w:rsidRPr="00470FDB">
        <w:rPr>
          <w:color w:val="000000" w:themeColor="text1"/>
          <w:vertAlign w:val="subscript"/>
          <w:lang w:val="en-GB"/>
        </w:rPr>
        <w:t>2</w:t>
      </w:r>
      <w:r w:rsidR="00470FDB">
        <w:rPr>
          <w:color w:val="000000" w:themeColor="text1"/>
          <w:lang w:val="en-GB"/>
        </w:rPr>
        <w:t>S</w:t>
      </w:r>
      <w:r w:rsidR="00C53574" w:rsidRPr="0048707D">
        <w:rPr>
          <w:color w:val="000000" w:themeColor="text1"/>
          <w:lang w:val="en-GB"/>
        </w:rPr>
        <w:t xml:space="preserve">) </w:t>
      </w:r>
      <w:r w:rsidR="003E33B5" w:rsidRPr="0048707D">
        <w:rPr>
          <w:color w:val="000000" w:themeColor="text1"/>
          <w:lang w:val="en-GB"/>
        </w:rPr>
        <w:t>and temperatures ranging between 650 and 800 °C.</w:t>
      </w:r>
      <w:r w:rsidR="00470FDB">
        <w:rPr>
          <w:color w:val="000000" w:themeColor="text1"/>
          <w:lang w:val="en-GB"/>
        </w:rPr>
        <w:t xml:space="preserve"> </w:t>
      </w:r>
      <w:r w:rsidR="00C53574" w:rsidRPr="0048707D">
        <w:rPr>
          <w:color w:val="000000" w:themeColor="text1"/>
          <w:lang w:val="en-GB"/>
        </w:rPr>
        <w:t xml:space="preserve">Superior catalytic performance </w:t>
      </w:r>
      <w:r w:rsidRPr="0048707D">
        <w:rPr>
          <w:color w:val="000000" w:themeColor="text1"/>
          <w:lang w:val="en-GB"/>
        </w:rPr>
        <w:t>was</w:t>
      </w:r>
      <w:r w:rsidR="00C53574" w:rsidRPr="0048707D">
        <w:rPr>
          <w:color w:val="000000" w:themeColor="text1"/>
          <w:lang w:val="en-GB"/>
        </w:rPr>
        <w:t xml:space="preserve"> observed at 50 </w:t>
      </w:r>
      <w:proofErr w:type="spellStart"/>
      <w:r w:rsidR="00C53574" w:rsidRPr="0048707D">
        <w:rPr>
          <w:color w:val="000000" w:themeColor="text1"/>
          <w:lang w:val="en-GB"/>
        </w:rPr>
        <w:t>ppm</w:t>
      </w:r>
      <w:r w:rsidR="00D94589">
        <w:rPr>
          <w:color w:val="000000" w:themeColor="text1"/>
          <w:lang w:val="en-GB"/>
        </w:rPr>
        <w:t>v</w:t>
      </w:r>
      <w:proofErr w:type="spellEnd"/>
      <w:r w:rsidR="00C53574" w:rsidRPr="0048707D">
        <w:rPr>
          <w:color w:val="000000" w:themeColor="text1"/>
          <w:lang w:val="en-GB"/>
        </w:rPr>
        <w:t xml:space="preserve"> (from 700 to 800 °C) compared to a commercial catalyst at GHSV of 6000 h-1. </w:t>
      </w:r>
      <w:r w:rsidRPr="0048707D">
        <w:rPr>
          <w:color w:val="000000" w:themeColor="text1"/>
          <w:lang w:val="en-GB"/>
        </w:rPr>
        <w:t>Furthermore</w:t>
      </w:r>
      <w:r w:rsidR="00C53574" w:rsidRPr="0048707D">
        <w:rPr>
          <w:color w:val="000000" w:themeColor="text1"/>
          <w:lang w:val="en-GB"/>
        </w:rPr>
        <w:t xml:space="preserve">, </w:t>
      </w:r>
      <w:r w:rsidRPr="0048707D">
        <w:rPr>
          <w:color w:val="000000" w:themeColor="text1"/>
          <w:lang w:val="en-GB"/>
        </w:rPr>
        <w:t xml:space="preserve">a conversion rate of </w:t>
      </w:r>
      <w:r w:rsidR="00C53574" w:rsidRPr="0048707D">
        <w:rPr>
          <w:color w:val="000000" w:themeColor="text1"/>
          <w:lang w:val="en-GB"/>
        </w:rPr>
        <w:t xml:space="preserve">100 % was </w:t>
      </w:r>
      <w:r w:rsidRPr="0048707D">
        <w:rPr>
          <w:color w:val="000000" w:themeColor="text1"/>
          <w:lang w:val="en-GB"/>
        </w:rPr>
        <w:t>achieved</w:t>
      </w:r>
      <w:r w:rsidR="00C53574" w:rsidRPr="0048707D">
        <w:rPr>
          <w:color w:val="000000" w:themeColor="text1"/>
          <w:lang w:val="en-GB"/>
        </w:rPr>
        <w:t xml:space="preserve"> at each temperature </w:t>
      </w:r>
      <w:r w:rsidRPr="0048707D">
        <w:rPr>
          <w:color w:val="000000" w:themeColor="text1"/>
          <w:lang w:val="en-GB"/>
        </w:rPr>
        <w:t>even with an</w:t>
      </w:r>
      <w:r w:rsidR="00C53574" w:rsidRPr="0048707D">
        <w:rPr>
          <w:color w:val="000000" w:themeColor="text1"/>
          <w:lang w:val="en-GB"/>
        </w:rPr>
        <w:t xml:space="preserve"> H</w:t>
      </w:r>
      <w:r w:rsidR="00C53574" w:rsidRPr="00470FDB">
        <w:rPr>
          <w:color w:val="000000" w:themeColor="text1"/>
          <w:vertAlign w:val="subscript"/>
          <w:lang w:val="en-GB"/>
        </w:rPr>
        <w:t>2</w:t>
      </w:r>
      <w:r w:rsidR="00C53574" w:rsidRPr="0048707D">
        <w:rPr>
          <w:color w:val="000000" w:themeColor="text1"/>
          <w:lang w:val="en-GB"/>
        </w:rPr>
        <w:t xml:space="preserve">S content of 100 </w:t>
      </w:r>
      <w:proofErr w:type="spellStart"/>
      <w:r w:rsidR="00C53574" w:rsidRPr="0048707D">
        <w:rPr>
          <w:color w:val="000000" w:themeColor="text1"/>
          <w:lang w:val="en-GB"/>
        </w:rPr>
        <w:t>ppm</w:t>
      </w:r>
      <w:r w:rsidR="00D94589">
        <w:rPr>
          <w:color w:val="000000" w:themeColor="text1"/>
          <w:lang w:val="en-GB"/>
        </w:rPr>
        <w:t>v</w:t>
      </w:r>
      <w:proofErr w:type="spellEnd"/>
      <w:r w:rsidR="00C53574" w:rsidRPr="0048707D">
        <w:rPr>
          <w:color w:val="000000" w:themeColor="text1"/>
          <w:lang w:val="en-GB"/>
        </w:rPr>
        <w:t xml:space="preserve">. </w:t>
      </w:r>
      <w:r w:rsidR="00D94589">
        <w:rPr>
          <w:color w:val="000000" w:themeColor="text1"/>
          <w:lang w:val="en-GB"/>
        </w:rPr>
        <w:t>Although</w:t>
      </w:r>
      <w:r w:rsidR="00470FDB">
        <w:rPr>
          <w:color w:val="000000" w:themeColor="text1"/>
          <w:lang w:val="en-GB"/>
        </w:rPr>
        <w:t xml:space="preserve"> tests at higher GHSV </w:t>
      </w:r>
      <w:r w:rsidR="00470FDB" w:rsidRPr="0048707D">
        <w:rPr>
          <w:color w:val="000000" w:themeColor="text1"/>
          <w:lang w:val="en-GB"/>
        </w:rPr>
        <w:t>(13000 h-1)</w:t>
      </w:r>
      <w:r w:rsidR="00470FDB">
        <w:rPr>
          <w:color w:val="000000" w:themeColor="text1"/>
          <w:lang w:val="en-GB"/>
        </w:rPr>
        <w:t xml:space="preserve"> </w:t>
      </w:r>
      <w:r w:rsidR="00D94589">
        <w:rPr>
          <w:color w:val="000000" w:themeColor="text1"/>
          <w:lang w:val="en-GB"/>
        </w:rPr>
        <w:t xml:space="preserve">have </w:t>
      </w:r>
      <w:r w:rsidR="00470FDB">
        <w:rPr>
          <w:color w:val="000000" w:themeColor="text1"/>
          <w:lang w:val="en-GB"/>
        </w:rPr>
        <w:t xml:space="preserve">shown worst </w:t>
      </w:r>
      <w:r w:rsidR="00D94589">
        <w:rPr>
          <w:color w:val="000000" w:themeColor="text1"/>
          <w:lang w:val="en-GB"/>
        </w:rPr>
        <w:t xml:space="preserve">conversion </w:t>
      </w:r>
      <w:r w:rsidR="00470FDB">
        <w:rPr>
          <w:color w:val="000000" w:themeColor="text1"/>
          <w:lang w:val="en-GB"/>
        </w:rPr>
        <w:t>results</w:t>
      </w:r>
      <w:r w:rsidRPr="0048707D">
        <w:rPr>
          <w:color w:val="000000" w:themeColor="text1"/>
          <w:lang w:val="en-GB"/>
        </w:rPr>
        <w:t xml:space="preserve">, </w:t>
      </w:r>
      <w:r w:rsidR="00470FDB">
        <w:rPr>
          <w:color w:val="000000" w:themeColor="text1"/>
          <w:lang w:val="en-GB"/>
        </w:rPr>
        <w:t xml:space="preserve">the tar conversion rate </w:t>
      </w:r>
      <w:r w:rsidR="00D94589">
        <w:rPr>
          <w:color w:val="000000" w:themeColor="text1"/>
          <w:lang w:val="en-GB"/>
        </w:rPr>
        <w:t>was</w:t>
      </w:r>
      <w:r w:rsidR="00C53574" w:rsidRPr="0048707D">
        <w:rPr>
          <w:color w:val="000000" w:themeColor="text1"/>
          <w:lang w:val="en-GB"/>
        </w:rPr>
        <w:t xml:space="preserve"> </w:t>
      </w:r>
      <w:r w:rsidRPr="0048707D">
        <w:rPr>
          <w:color w:val="000000" w:themeColor="text1"/>
          <w:lang w:val="en-GB"/>
        </w:rPr>
        <w:t>higher than shown by the previously tested commercial catalyst (</w:t>
      </w:r>
      <w:r w:rsidR="00C53574" w:rsidRPr="0048707D">
        <w:rPr>
          <w:color w:val="000000" w:themeColor="text1"/>
          <w:lang w:val="en-GB"/>
        </w:rPr>
        <w:t xml:space="preserve">close to 100% at 800°C and </w:t>
      </w:r>
      <w:r w:rsidRPr="0048707D">
        <w:rPr>
          <w:color w:val="000000" w:themeColor="text1"/>
          <w:lang w:val="en-GB"/>
        </w:rPr>
        <w:t>above</w:t>
      </w:r>
      <w:r w:rsidR="00C53574" w:rsidRPr="0048707D">
        <w:rPr>
          <w:color w:val="000000" w:themeColor="text1"/>
          <w:lang w:val="en-GB"/>
        </w:rPr>
        <w:t xml:space="preserve"> 95 % at 750 °C</w:t>
      </w:r>
      <w:r w:rsidRPr="0048707D">
        <w:rPr>
          <w:color w:val="000000" w:themeColor="text1"/>
          <w:lang w:val="en-GB"/>
        </w:rPr>
        <w:t>). Finally, b</w:t>
      </w:r>
      <w:r w:rsidR="00C53574" w:rsidRPr="0048707D">
        <w:rPr>
          <w:color w:val="000000" w:themeColor="text1"/>
          <w:lang w:val="en-GB"/>
        </w:rPr>
        <w:t xml:space="preserve">ased on the </w:t>
      </w:r>
      <w:r w:rsidRPr="0048707D">
        <w:rPr>
          <w:color w:val="000000" w:themeColor="text1"/>
          <w:lang w:val="en-GB"/>
        </w:rPr>
        <w:t>results,</w:t>
      </w:r>
      <w:r w:rsidR="00C53574" w:rsidRPr="0048707D">
        <w:rPr>
          <w:color w:val="000000" w:themeColor="text1"/>
          <w:lang w:val="en-GB"/>
        </w:rPr>
        <w:t xml:space="preserve"> a relative low temperature (650 °C) is sufficient to </w:t>
      </w:r>
      <w:r w:rsidRPr="0048707D">
        <w:rPr>
          <w:color w:val="000000" w:themeColor="text1"/>
          <w:lang w:val="en-GB"/>
        </w:rPr>
        <w:t>achieve</w:t>
      </w:r>
      <w:r w:rsidR="00C53574" w:rsidRPr="0048707D">
        <w:rPr>
          <w:color w:val="000000" w:themeColor="text1"/>
          <w:lang w:val="en-GB"/>
        </w:rPr>
        <w:t xml:space="preserve"> complete </w:t>
      </w:r>
      <w:r w:rsidRPr="0048707D">
        <w:rPr>
          <w:color w:val="000000" w:themeColor="text1"/>
          <w:lang w:val="en-GB"/>
        </w:rPr>
        <w:t xml:space="preserve">tar </w:t>
      </w:r>
      <w:r w:rsidR="00C53574" w:rsidRPr="0048707D">
        <w:rPr>
          <w:color w:val="000000" w:themeColor="text1"/>
          <w:lang w:val="en-GB"/>
        </w:rPr>
        <w:t xml:space="preserve">conversion </w:t>
      </w:r>
      <w:r w:rsidRPr="0048707D">
        <w:rPr>
          <w:color w:val="000000" w:themeColor="text1"/>
          <w:lang w:val="en-GB"/>
        </w:rPr>
        <w:t>even</w:t>
      </w:r>
      <w:r w:rsidR="00C53574" w:rsidRPr="0048707D">
        <w:rPr>
          <w:color w:val="000000" w:themeColor="text1"/>
          <w:lang w:val="en-GB"/>
        </w:rPr>
        <w:t xml:space="preserve"> at 100 </w:t>
      </w:r>
      <w:proofErr w:type="spellStart"/>
      <w:r w:rsidR="00C53574" w:rsidRPr="0048707D">
        <w:rPr>
          <w:color w:val="000000" w:themeColor="text1"/>
          <w:lang w:val="en-GB"/>
        </w:rPr>
        <w:t>ppm</w:t>
      </w:r>
      <w:r w:rsidR="00D94589">
        <w:rPr>
          <w:color w:val="000000" w:themeColor="text1"/>
          <w:lang w:val="en-GB"/>
        </w:rPr>
        <w:t>v</w:t>
      </w:r>
      <w:proofErr w:type="spellEnd"/>
      <w:r w:rsidR="00C53574" w:rsidRPr="0048707D">
        <w:rPr>
          <w:color w:val="000000" w:themeColor="text1"/>
          <w:lang w:val="en-GB"/>
        </w:rPr>
        <w:t xml:space="preserve"> o</w:t>
      </w:r>
      <w:r w:rsidRPr="0048707D">
        <w:rPr>
          <w:color w:val="000000" w:themeColor="text1"/>
          <w:lang w:val="en-GB"/>
        </w:rPr>
        <w:t>f</w:t>
      </w:r>
      <w:r w:rsidR="00C53574" w:rsidRPr="0048707D">
        <w:rPr>
          <w:color w:val="000000" w:themeColor="text1"/>
          <w:lang w:val="en-GB"/>
        </w:rPr>
        <w:t xml:space="preserve"> thiophene. </w:t>
      </w:r>
      <w:r w:rsidRPr="0048707D">
        <w:rPr>
          <w:color w:val="000000" w:themeColor="text1"/>
          <w:lang w:val="en-GB"/>
        </w:rPr>
        <w:t>These results</w:t>
      </w:r>
      <w:r w:rsidR="00C53574" w:rsidRPr="0048707D">
        <w:rPr>
          <w:color w:val="000000" w:themeColor="text1"/>
          <w:lang w:val="en-GB"/>
        </w:rPr>
        <w:t xml:space="preserve"> </w:t>
      </w:r>
      <w:proofErr w:type="gramStart"/>
      <w:r w:rsidR="00C53574" w:rsidRPr="0048707D">
        <w:rPr>
          <w:color w:val="000000" w:themeColor="text1"/>
          <w:lang w:val="en-GB"/>
        </w:rPr>
        <w:t>ope</w:t>
      </w:r>
      <w:r w:rsidRPr="0048707D">
        <w:rPr>
          <w:color w:val="000000" w:themeColor="text1"/>
          <w:lang w:val="en-GB"/>
        </w:rPr>
        <w:t>n up</w:t>
      </w:r>
      <w:proofErr w:type="gramEnd"/>
      <w:r w:rsidR="00C53574" w:rsidRPr="0048707D">
        <w:rPr>
          <w:color w:val="000000" w:themeColor="text1"/>
          <w:lang w:val="en-GB"/>
        </w:rPr>
        <w:t xml:space="preserve"> the exploitation of the </w:t>
      </w:r>
      <w:r w:rsidRPr="0048707D">
        <w:rPr>
          <w:color w:val="000000" w:themeColor="text1"/>
          <w:lang w:val="en-GB"/>
        </w:rPr>
        <w:t>new</w:t>
      </w:r>
      <w:r w:rsidR="00C53574" w:rsidRPr="0048707D">
        <w:rPr>
          <w:color w:val="000000" w:themeColor="text1"/>
          <w:lang w:val="en-GB"/>
        </w:rPr>
        <w:t xml:space="preserve"> catalyst </w:t>
      </w:r>
      <w:r w:rsidRPr="0048707D">
        <w:rPr>
          <w:color w:val="000000" w:themeColor="text1"/>
          <w:lang w:val="en-GB"/>
        </w:rPr>
        <w:t>in the</w:t>
      </w:r>
      <w:r w:rsidR="00C53574" w:rsidRPr="0048707D">
        <w:rPr>
          <w:color w:val="000000" w:themeColor="text1"/>
          <w:lang w:val="en-GB"/>
        </w:rPr>
        <w:t xml:space="preserve"> sorption enhanced gasification </w:t>
      </w:r>
      <w:r w:rsidRPr="0048707D">
        <w:rPr>
          <w:color w:val="000000" w:themeColor="text1"/>
          <w:lang w:val="en-GB"/>
        </w:rPr>
        <w:t>processes</w:t>
      </w:r>
      <w:r w:rsidR="00C53574" w:rsidRPr="0048707D">
        <w:rPr>
          <w:color w:val="000000" w:themeColor="text1"/>
          <w:lang w:val="en-GB"/>
        </w:rPr>
        <w:t xml:space="preserve"> where low temperatures are required.  </w:t>
      </w:r>
    </w:p>
    <w:p w14:paraId="476B2F2E" w14:textId="77777777" w:rsidR="00600535" w:rsidRPr="00B57B36" w:rsidRDefault="00600535" w:rsidP="00600535">
      <w:pPr>
        <w:pStyle w:val="CETHeading1"/>
        <w:rPr>
          <w:lang w:val="en-GB"/>
        </w:rPr>
      </w:pPr>
      <w:r w:rsidRPr="00B57B36">
        <w:rPr>
          <w:lang w:val="en-GB"/>
        </w:rPr>
        <w:t>Introduction</w:t>
      </w:r>
    </w:p>
    <w:p w14:paraId="5EF6BAFF" w14:textId="11B1A7C0" w:rsidR="00F56032" w:rsidRPr="00F56032" w:rsidRDefault="007D4414" w:rsidP="005004AF">
      <w:pPr>
        <w:pStyle w:val="CETBodytext"/>
        <w:rPr>
          <w:rFonts w:cs="Arial"/>
          <w:lang w:val="en-GB" w:eastAsia="de-DE" w:bidi="en-US"/>
        </w:rPr>
      </w:pPr>
      <w:r>
        <w:rPr>
          <w:rFonts w:cs="Arial"/>
          <w:lang w:val="en-GB" w:eastAsia="de-DE" w:bidi="en-US"/>
        </w:rPr>
        <w:t xml:space="preserve">According to the </w:t>
      </w:r>
      <w:r w:rsidR="00F56032">
        <w:rPr>
          <w:rFonts w:cs="Arial"/>
          <w:lang w:val="en-GB" w:eastAsia="de-DE" w:bidi="en-US"/>
        </w:rPr>
        <w:t>Paris agreement</w:t>
      </w:r>
      <w:r>
        <w:rPr>
          <w:rFonts w:cs="Arial"/>
          <w:lang w:val="en-GB" w:eastAsia="de-DE" w:bidi="en-US"/>
        </w:rPr>
        <w:t xml:space="preserve"> </w:t>
      </w:r>
      <w:r w:rsidR="0062558B">
        <w:rPr>
          <w:rFonts w:cs="Arial"/>
          <w:lang w:val="en-GB" w:eastAsia="de-DE" w:bidi="en-US"/>
        </w:rPr>
        <w:t xml:space="preserve">the contribution of renewable energy to the global energy grid </w:t>
      </w:r>
      <w:r w:rsidR="00DE600F">
        <w:rPr>
          <w:rFonts w:cs="Arial"/>
          <w:lang w:val="en-GB" w:eastAsia="de-DE" w:bidi="en-US"/>
        </w:rPr>
        <w:t>is to</w:t>
      </w:r>
      <w:r w:rsidR="0062558B">
        <w:rPr>
          <w:rFonts w:cs="Arial"/>
          <w:lang w:val="en-GB" w:eastAsia="de-DE" w:bidi="en-US"/>
        </w:rPr>
        <w:t xml:space="preserve"> be increased for mitigating the contradiction between the need to reduce greenhouse gas emission</w:t>
      </w:r>
      <w:r w:rsidR="00DE600F">
        <w:rPr>
          <w:rFonts w:cs="Arial"/>
          <w:lang w:val="en-GB" w:eastAsia="de-DE" w:bidi="en-US"/>
        </w:rPr>
        <w:t>s</w:t>
      </w:r>
      <w:r w:rsidR="0062558B">
        <w:rPr>
          <w:rFonts w:cs="Arial"/>
          <w:lang w:val="en-GB" w:eastAsia="de-DE" w:bidi="en-US"/>
        </w:rPr>
        <w:t xml:space="preserve"> and the growing demand for energy </w:t>
      </w:r>
      <w:sdt>
        <w:sdtPr>
          <w:rPr>
            <w:rFonts w:cs="Arial"/>
            <w:color w:val="000000"/>
            <w:lang w:val="en-GB" w:eastAsia="de-DE" w:bidi="en-US"/>
          </w:rPr>
          <w:tag w:val="MENDELEY_CITATION_v3_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"/>
          <w:id w:val="959003632"/>
          <w:placeholder>
            <w:docPart w:val="DefaultPlaceholder_-1854013440"/>
          </w:placeholder>
        </w:sdtPr>
        <w:sdtEndPr/>
        <w:sdtContent>
          <w:r w:rsidR="006D4063" w:rsidRPr="00F83D5C">
            <w:rPr>
              <w:rFonts w:cs="Arial"/>
              <w:color w:val="000000"/>
              <w:lang w:val="en-GB" w:eastAsia="de-DE" w:bidi="en-US"/>
            </w:rPr>
            <w:t>(UNFCCC, 2015)</w:t>
          </w:r>
        </w:sdtContent>
      </w:sdt>
      <w:r w:rsidR="005D5915">
        <w:rPr>
          <w:rFonts w:cs="Arial"/>
          <w:lang w:val="en-GB" w:eastAsia="de-DE" w:bidi="en-US"/>
        </w:rPr>
        <w:t xml:space="preserve"> </w:t>
      </w:r>
      <w:r w:rsidR="00F56032" w:rsidRPr="00F56032">
        <w:rPr>
          <w:rFonts w:cs="Arial"/>
          <w:lang w:val="en-GB" w:eastAsia="de-DE" w:bidi="en-US"/>
        </w:rPr>
        <w:t>Among the renewable energy sources, biomass</w:t>
      </w:r>
      <w:r w:rsidR="00F56032">
        <w:rPr>
          <w:rFonts w:cs="Arial"/>
          <w:lang w:val="en-GB" w:eastAsia="de-DE" w:bidi="en-US"/>
        </w:rPr>
        <w:t xml:space="preserve"> </w:t>
      </w:r>
      <w:r w:rsidR="00F56032" w:rsidRPr="00F56032">
        <w:rPr>
          <w:rFonts w:cs="Arial"/>
          <w:lang w:val="en-GB" w:eastAsia="de-DE" w:bidi="en-US"/>
        </w:rPr>
        <w:t xml:space="preserve">is considered </w:t>
      </w:r>
      <w:r w:rsidR="005004AF">
        <w:rPr>
          <w:rFonts w:cs="Arial"/>
          <w:lang w:val="en-GB" w:eastAsia="de-DE" w:bidi="en-US"/>
        </w:rPr>
        <w:t>essential to reach the net-zero scenario in 2050</w:t>
      </w:r>
      <w:r w:rsidR="001E3672">
        <w:rPr>
          <w:rFonts w:cs="Arial"/>
          <w:lang w:val="en-GB" w:eastAsia="de-DE" w:bidi="en-US"/>
        </w:rPr>
        <w:t xml:space="preserve"> </w:t>
      </w:r>
      <w:sdt>
        <w:sdtPr>
          <w:rPr>
            <w:rFonts w:cs="Arial"/>
            <w:color w:val="000000"/>
            <w:lang w:val="en-GB" w:eastAsia="de-DE" w:bidi="en-US"/>
          </w:rPr>
          <w:tag w:val="MENDELEY_CITATION_v3_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"/>
          <w:id w:val="-1080593997"/>
          <w:placeholder>
            <w:docPart w:val="DefaultPlaceholder_-1854013440"/>
          </w:placeholder>
        </w:sdtPr>
        <w:sdtEndPr/>
        <w:sdtContent>
          <w:r w:rsidR="006D4063" w:rsidRPr="00F83D5C">
            <w:rPr>
              <w:rFonts w:cs="Arial"/>
              <w:color w:val="000000"/>
              <w:lang w:val="en-GB" w:eastAsia="de-DE" w:bidi="en-US"/>
            </w:rPr>
            <w:t>(IEA, 2021)</w:t>
          </w:r>
        </w:sdtContent>
      </w:sdt>
      <w:r w:rsidR="005004AF">
        <w:rPr>
          <w:rFonts w:cs="Arial"/>
          <w:lang w:val="en-GB" w:eastAsia="de-DE" w:bidi="en-US"/>
        </w:rPr>
        <w:t>.</w:t>
      </w:r>
    </w:p>
    <w:p w14:paraId="7969AD3F" w14:textId="3AFCEC95" w:rsidR="005004AF" w:rsidRDefault="00F56032" w:rsidP="005004AF">
      <w:pPr>
        <w:pStyle w:val="CETBodytext"/>
        <w:rPr>
          <w:rFonts w:cs="Arial"/>
          <w:lang w:val="en-GB" w:eastAsia="de-DE" w:bidi="en-US"/>
        </w:rPr>
      </w:pPr>
      <w:r>
        <w:rPr>
          <w:rFonts w:cs="Arial"/>
          <w:lang w:val="en-GB" w:eastAsia="de-DE" w:bidi="en-US"/>
        </w:rPr>
        <w:t>T</w:t>
      </w:r>
      <w:r w:rsidRPr="00F56032">
        <w:rPr>
          <w:rFonts w:cs="Arial"/>
          <w:lang w:val="en-GB" w:eastAsia="de-DE" w:bidi="en-US"/>
        </w:rPr>
        <w:t>he use of</w:t>
      </w:r>
      <w:r>
        <w:rPr>
          <w:rFonts w:cs="Arial"/>
          <w:lang w:val="en-GB" w:eastAsia="de-DE" w:bidi="en-US"/>
        </w:rPr>
        <w:t xml:space="preserve"> locally available</w:t>
      </w:r>
      <w:r w:rsidRPr="00F56032">
        <w:rPr>
          <w:rFonts w:cs="Arial"/>
          <w:lang w:val="en-GB" w:eastAsia="de-DE" w:bidi="en-US"/>
        </w:rPr>
        <w:t xml:space="preserve"> </w:t>
      </w:r>
      <w:r>
        <w:rPr>
          <w:rFonts w:cs="Arial"/>
          <w:lang w:val="en-GB" w:eastAsia="de-DE" w:bidi="en-US"/>
        </w:rPr>
        <w:t xml:space="preserve">residual </w:t>
      </w:r>
      <w:r w:rsidRPr="00F56032">
        <w:rPr>
          <w:rFonts w:cs="Arial"/>
          <w:lang w:val="en-GB" w:eastAsia="de-DE" w:bidi="en-US"/>
        </w:rPr>
        <w:t>biomass</w:t>
      </w:r>
      <w:r>
        <w:rPr>
          <w:rFonts w:cs="Arial"/>
          <w:lang w:val="en-GB" w:eastAsia="de-DE" w:bidi="en-US"/>
        </w:rPr>
        <w:t xml:space="preserve"> </w:t>
      </w:r>
      <w:r w:rsidRPr="00F56032">
        <w:rPr>
          <w:rFonts w:cs="Arial"/>
          <w:lang w:val="en-GB" w:eastAsia="de-DE" w:bidi="en-US"/>
        </w:rPr>
        <w:t>in power generation</w:t>
      </w:r>
      <w:r>
        <w:rPr>
          <w:rFonts w:cs="Arial"/>
          <w:lang w:val="en-GB" w:eastAsia="de-DE" w:bidi="en-US"/>
        </w:rPr>
        <w:t xml:space="preserve"> </w:t>
      </w:r>
      <w:r w:rsidRPr="00F56032">
        <w:rPr>
          <w:rFonts w:cs="Arial"/>
          <w:lang w:val="en-GB" w:eastAsia="de-DE" w:bidi="en-US"/>
        </w:rPr>
        <w:t>cycles can lead to high operating efficiency in energy systems</w:t>
      </w:r>
      <w:r>
        <w:rPr>
          <w:rFonts w:cs="Arial"/>
          <w:lang w:val="en-GB" w:eastAsia="de-DE" w:bidi="en-US"/>
        </w:rPr>
        <w:t xml:space="preserve">. </w:t>
      </w:r>
      <w:proofErr w:type="gramStart"/>
      <w:r w:rsidR="005004AF">
        <w:rPr>
          <w:rFonts w:cs="Arial"/>
          <w:lang w:val="en-GB" w:eastAsia="de-DE" w:bidi="en-US"/>
        </w:rPr>
        <w:t>In particular, g</w:t>
      </w:r>
      <w:r w:rsidR="005004AF" w:rsidRPr="005004AF">
        <w:rPr>
          <w:rFonts w:cs="Arial"/>
          <w:lang w:val="en-GB" w:eastAsia="de-DE" w:bidi="en-US"/>
        </w:rPr>
        <w:t>asification</w:t>
      </w:r>
      <w:proofErr w:type="gramEnd"/>
      <w:r w:rsidR="005004AF" w:rsidRPr="005004AF">
        <w:rPr>
          <w:rFonts w:cs="Arial"/>
          <w:lang w:val="en-GB" w:eastAsia="de-DE" w:bidi="en-US"/>
        </w:rPr>
        <w:t xml:space="preserve"> presents opportunities </w:t>
      </w:r>
      <w:r w:rsidR="005004AF">
        <w:rPr>
          <w:rFonts w:cs="Arial"/>
          <w:lang w:val="en-GB" w:eastAsia="de-DE" w:bidi="en-US"/>
        </w:rPr>
        <w:t>to produce</w:t>
      </w:r>
      <w:r w:rsidR="005004AF" w:rsidRPr="005004AF">
        <w:rPr>
          <w:rFonts w:cs="Arial"/>
          <w:lang w:val="en-GB" w:eastAsia="de-DE" w:bidi="en-US"/>
        </w:rPr>
        <w:t xml:space="preserve"> renewable power, heat, and more interestingly, renewable</w:t>
      </w:r>
      <w:r w:rsidR="005004AF">
        <w:rPr>
          <w:rFonts w:cs="Arial"/>
          <w:lang w:val="en-GB" w:eastAsia="de-DE" w:bidi="en-US"/>
        </w:rPr>
        <w:t xml:space="preserve"> </w:t>
      </w:r>
      <w:r w:rsidR="005004AF" w:rsidRPr="005004AF">
        <w:rPr>
          <w:rFonts w:cs="Arial"/>
          <w:lang w:val="en-GB" w:eastAsia="de-DE" w:bidi="en-US"/>
        </w:rPr>
        <w:t>hydrogen, synthetic fuels, and chemicals, such as drop-in diesel,</w:t>
      </w:r>
      <w:r w:rsidR="005004AF">
        <w:rPr>
          <w:rFonts w:cs="Arial"/>
          <w:lang w:val="en-GB" w:eastAsia="de-DE" w:bidi="en-US"/>
        </w:rPr>
        <w:t xml:space="preserve"> </w:t>
      </w:r>
      <w:r w:rsidR="005004AF" w:rsidRPr="005004AF">
        <w:rPr>
          <w:rFonts w:cs="Arial"/>
          <w:lang w:val="en-GB" w:eastAsia="de-DE" w:bidi="en-US"/>
        </w:rPr>
        <w:t>gasoline, jet fuel, ammonia, methanol, and dimethyl ether (DME</w:t>
      </w:r>
      <w:r w:rsidR="005004AF">
        <w:rPr>
          <w:rFonts w:cs="Arial"/>
          <w:lang w:val="en-GB" w:eastAsia="de-DE" w:bidi="en-US"/>
        </w:rPr>
        <w:t>) starting from agricultural and waste materials</w:t>
      </w:r>
      <w:r w:rsidR="001E3672">
        <w:rPr>
          <w:rFonts w:cs="Arial"/>
          <w:lang w:val="en-GB" w:eastAsia="de-DE" w:bidi="en-US"/>
        </w:rPr>
        <w:t xml:space="preserve"> </w:t>
      </w:r>
      <w:sdt>
        <w:sdtPr>
          <w:rPr>
            <w:rFonts w:cs="Arial"/>
            <w:color w:val="000000"/>
            <w:lang w:val="en-GB" w:eastAsia="de-DE" w:bidi="en-US"/>
          </w:rPr>
          <w:tag w:val="MENDELEY_CITATION_v3_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"/>
          <w:id w:val="488290506"/>
          <w:placeholder>
            <w:docPart w:val="DefaultPlaceholder_-1854013440"/>
          </w:placeholder>
        </w:sdtPr>
        <w:sdtEndPr/>
        <w:sdtContent>
          <w:r w:rsidR="006D4063" w:rsidRPr="00F83D5C">
            <w:rPr>
              <w:rFonts w:cs="Arial"/>
              <w:color w:val="000000"/>
              <w:lang w:val="en-GB" w:eastAsia="de-DE" w:bidi="en-US"/>
            </w:rPr>
            <w:t>(Gholamian et al., 2016; Papa et al., 2022)</w:t>
          </w:r>
        </w:sdtContent>
      </w:sdt>
      <w:r w:rsidR="005004AF">
        <w:rPr>
          <w:rFonts w:cs="Arial"/>
          <w:lang w:val="en-GB" w:eastAsia="de-DE" w:bidi="en-US"/>
        </w:rPr>
        <w:t xml:space="preserve">. </w:t>
      </w:r>
    </w:p>
    <w:p w14:paraId="64E427DF" w14:textId="07F40F7A" w:rsidR="0080447A" w:rsidRDefault="005004AF" w:rsidP="005004AF">
      <w:pPr>
        <w:pStyle w:val="CETBodytext"/>
        <w:rPr>
          <w:rFonts w:cs="Arial"/>
          <w:lang w:val="en-GB" w:eastAsia="de-DE" w:bidi="en-US"/>
        </w:rPr>
      </w:pPr>
      <w:r w:rsidRPr="005004AF">
        <w:rPr>
          <w:rFonts w:cs="Arial"/>
          <w:lang w:val="en-GB" w:eastAsia="de-DE" w:bidi="en-US"/>
        </w:rPr>
        <w:t xml:space="preserve">Regardless of </w:t>
      </w:r>
      <w:r w:rsidR="00DE600F">
        <w:rPr>
          <w:rFonts w:cs="Arial"/>
          <w:lang w:val="en-GB" w:eastAsia="de-DE" w:bidi="en-US"/>
        </w:rPr>
        <w:t xml:space="preserve">the </w:t>
      </w:r>
      <w:r w:rsidRPr="005004AF">
        <w:rPr>
          <w:rFonts w:cs="Arial"/>
          <w:lang w:val="en-GB" w:eastAsia="de-DE" w:bidi="en-US"/>
        </w:rPr>
        <w:t xml:space="preserve">downstream processes, the </w:t>
      </w:r>
      <w:r w:rsidR="00D22BF7">
        <w:rPr>
          <w:rFonts w:cs="Arial"/>
          <w:lang w:val="en-GB" w:eastAsia="de-DE" w:bidi="en-US"/>
        </w:rPr>
        <w:t>syn</w:t>
      </w:r>
      <w:r w:rsidRPr="005004AF">
        <w:rPr>
          <w:rFonts w:cs="Arial"/>
          <w:lang w:val="en-GB" w:eastAsia="de-DE" w:bidi="en-US"/>
        </w:rPr>
        <w:t xml:space="preserve">gas must contain as few impurities and inert species as possible. </w:t>
      </w:r>
      <w:r w:rsidR="001A0AB6" w:rsidRPr="001A0AB6">
        <w:rPr>
          <w:rFonts w:cs="Arial"/>
          <w:lang w:val="en-GB" w:eastAsia="de-DE" w:bidi="en-US"/>
        </w:rPr>
        <w:t xml:space="preserve">Tar and particulate produced by the process </w:t>
      </w:r>
      <w:r w:rsidR="00DE600F">
        <w:rPr>
          <w:rFonts w:cs="Arial"/>
          <w:lang w:val="en-GB" w:eastAsia="de-DE" w:bidi="en-US"/>
        </w:rPr>
        <w:t>are to</w:t>
      </w:r>
      <w:r w:rsidR="001A0AB6" w:rsidRPr="001A0AB6">
        <w:rPr>
          <w:rFonts w:cs="Arial"/>
          <w:lang w:val="en-GB" w:eastAsia="de-DE" w:bidi="en-US"/>
        </w:rPr>
        <w:t xml:space="preserve"> be removed</w:t>
      </w:r>
      <w:r w:rsidR="00DE600F">
        <w:rPr>
          <w:rFonts w:cs="Arial"/>
          <w:lang w:val="en-GB" w:eastAsia="de-DE" w:bidi="en-US"/>
        </w:rPr>
        <w:t xml:space="preserve"> anyway</w:t>
      </w:r>
      <w:r w:rsidR="001A0AB6" w:rsidRPr="001A0AB6">
        <w:rPr>
          <w:rFonts w:cs="Arial"/>
          <w:lang w:val="en-GB" w:eastAsia="de-DE" w:bidi="en-US"/>
        </w:rPr>
        <w:t xml:space="preserve"> from the syngas to make it exploitable</w:t>
      </w:r>
      <w:r w:rsidR="006252E6">
        <w:rPr>
          <w:rFonts w:cs="Arial"/>
          <w:lang w:val="en-GB" w:eastAsia="de-DE" w:bidi="en-US"/>
        </w:rPr>
        <w:t xml:space="preserve"> </w:t>
      </w:r>
      <w:sdt>
        <w:sdtPr>
          <w:rPr>
            <w:rFonts w:cs="Arial"/>
            <w:color w:val="000000"/>
            <w:lang w:val="en-GB" w:eastAsia="de-DE" w:bidi="en-US"/>
          </w:rPr>
          <w:tag w:val="MENDELEY_CITATION_v3_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"/>
          <w:id w:val="943651143"/>
          <w:placeholder>
            <w:docPart w:val="DefaultPlaceholder_-1854013440"/>
          </w:placeholder>
        </w:sdtPr>
        <w:sdtEndPr/>
        <w:sdtContent>
          <w:r w:rsidR="006D4063" w:rsidRPr="00F83D5C">
            <w:rPr>
              <w:rFonts w:cs="Arial"/>
              <w:color w:val="000000"/>
              <w:lang w:val="en-GB" w:eastAsia="de-DE" w:bidi="en-US"/>
            </w:rPr>
            <w:t>(</w:t>
          </w:r>
          <w:proofErr w:type="spellStart"/>
          <w:r w:rsidR="006D4063" w:rsidRPr="00F83D5C">
            <w:rPr>
              <w:rFonts w:cs="Arial"/>
              <w:color w:val="000000"/>
              <w:lang w:val="en-GB" w:eastAsia="de-DE" w:bidi="en-US"/>
            </w:rPr>
            <w:t>Ouweltjes</w:t>
          </w:r>
          <w:proofErr w:type="spellEnd"/>
          <w:r w:rsidR="006D4063" w:rsidRPr="00F83D5C">
            <w:rPr>
              <w:rFonts w:cs="Arial"/>
              <w:color w:val="000000"/>
              <w:lang w:val="en-GB" w:eastAsia="de-DE" w:bidi="en-US"/>
            </w:rPr>
            <w:t>, 2019)</w:t>
          </w:r>
        </w:sdtContent>
      </w:sdt>
      <w:r w:rsidR="001A0AB6" w:rsidRPr="001A0AB6">
        <w:rPr>
          <w:rFonts w:cs="Arial"/>
          <w:lang w:val="en-GB" w:eastAsia="de-DE" w:bidi="en-US"/>
        </w:rPr>
        <w:t xml:space="preserve">. For this reason, the gas cleaning and conditioning units are crucial to </w:t>
      </w:r>
      <w:r w:rsidR="00DE600F">
        <w:rPr>
          <w:rFonts w:cs="Arial"/>
          <w:lang w:val="en-GB" w:eastAsia="de-DE" w:bidi="en-US"/>
        </w:rPr>
        <w:t>achieve</w:t>
      </w:r>
      <w:r w:rsidR="001A0AB6" w:rsidRPr="001A0AB6">
        <w:rPr>
          <w:rFonts w:cs="Arial"/>
          <w:lang w:val="en-GB" w:eastAsia="de-DE" w:bidi="en-US"/>
        </w:rPr>
        <w:t xml:space="preserve"> the concentration limits imposed by the downstream equipment </w:t>
      </w:r>
      <w:sdt>
        <w:sdtPr>
          <w:rPr>
            <w:rFonts w:cs="Arial"/>
            <w:color w:val="000000"/>
            <w:lang w:val="en-GB" w:eastAsia="de-DE" w:bidi="en-US"/>
          </w:rPr>
          <w:tag w:val="MENDELEY_CITATION_v3_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"/>
          <w:id w:val="-115210110"/>
          <w:placeholder>
            <w:docPart w:val="DefaultPlaceholder_-1854013440"/>
          </w:placeholder>
        </w:sdtPr>
        <w:sdtEndPr/>
        <w:sdtContent>
          <w:r w:rsidR="006D4063" w:rsidRPr="00F83D5C">
            <w:rPr>
              <w:rFonts w:cs="Arial"/>
              <w:color w:val="000000"/>
              <w:lang w:val="en-GB" w:eastAsia="de-DE" w:bidi="en-US"/>
            </w:rPr>
            <w:t>(Asadullah, 2014)</w:t>
          </w:r>
        </w:sdtContent>
      </w:sdt>
      <w:r w:rsidR="001A0AB6" w:rsidRPr="001A0AB6">
        <w:rPr>
          <w:rFonts w:cs="Arial"/>
          <w:lang w:val="en-GB" w:eastAsia="de-DE" w:bidi="en-US"/>
        </w:rPr>
        <w:t xml:space="preserve">. Catalytic filter candles </w:t>
      </w:r>
      <w:r w:rsidR="00DE600F">
        <w:rPr>
          <w:rFonts w:cs="Arial"/>
          <w:lang w:val="en-GB" w:eastAsia="de-DE" w:bidi="en-US"/>
        </w:rPr>
        <w:t xml:space="preserve">directly </w:t>
      </w:r>
      <w:r w:rsidR="001A0AB6" w:rsidRPr="001A0AB6">
        <w:rPr>
          <w:rFonts w:cs="Arial"/>
          <w:lang w:val="en-GB" w:eastAsia="de-DE" w:bidi="en-US"/>
        </w:rPr>
        <w:t>inserted in the freeboard of the gasifier are an efficient solution for hot gas cleaning and conditioning</w:t>
      </w:r>
      <w:r w:rsidR="008C1E71">
        <w:rPr>
          <w:rFonts w:cs="Arial"/>
          <w:lang w:val="en-GB" w:eastAsia="de-DE" w:bidi="en-US"/>
        </w:rPr>
        <w:t xml:space="preserve"> </w:t>
      </w:r>
      <w:sdt>
        <w:sdtPr>
          <w:rPr>
            <w:rFonts w:cs="Arial"/>
            <w:color w:val="000000"/>
            <w:lang w:val="en-GB" w:eastAsia="de-DE" w:bidi="en-US"/>
          </w:rPr>
          <w:tag w:val="MENDELEY_CITATION_v3_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"/>
          <w:id w:val="1813982705"/>
          <w:placeholder>
            <w:docPart w:val="DefaultPlaceholder_-1854013440"/>
          </w:placeholder>
        </w:sdtPr>
        <w:sdtEndPr/>
        <w:sdtContent>
          <w:r w:rsidR="006D4063" w:rsidRPr="00F83D5C">
            <w:rPr>
              <w:rFonts w:cs="Arial"/>
              <w:color w:val="000000"/>
              <w:lang w:val="en-GB" w:eastAsia="de-DE" w:bidi="en-US"/>
            </w:rPr>
            <w:t>(Papa et al., 2023)</w:t>
          </w:r>
        </w:sdtContent>
      </w:sdt>
      <w:r w:rsidR="001A0AB6" w:rsidRPr="001A0AB6">
        <w:rPr>
          <w:rFonts w:cs="Arial"/>
          <w:lang w:val="en-GB" w:eastAsia="de-DE" w:bidi="en-US"/>
        </w:rPr>
        <w:t xml:space="preserve">. Thanks to their porous filtering structure, these components can completely remove particulate matter. Furthermore, their internal cavity can be used to house a catalyst bed to perform tar steam reforming directly in the freeboard of the gasifier </w:t>
      </w:r>
      <w:sdt>
        <w:sdtPr>
          <w:rPr>
            <w:rFonts w:cs="Arial"/>
            <w:color w:val="000000"/>
            <w:lang w:val="en-GB" w:eastAsia="de-DE" w:bidi="en-US"/>
          </w:rPr>
          <w:tag w:val="MENDELEY_CITATION_v3_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"/>
          <w:id w:val="-1014217156"/>
          <w:placeholder>
            <w:docPart w:val="DefaultPlaceholder_-1854013440"/>
          </w:placeholder>
        </w:sdtPr>
        <w:sdtEndPr/>
        <w:sdtContent>
          <w:r w:rsidR="006D4063" w:rsidRPr="00CC0853">
            <w:rPr>
              <w:color w:val="000000"/>
            </w:rPr>
            <w:t>(Heidenreich &amp; Foscolo, 2015)</w:t>
          </w:r>
        </w:sdtContent>
      </w:sdt>
      <w:r w:rsidR="001A0AB6" w:rsidRPr="001A0AB6">
        <w:rPr>
          <w:rFonts w:cs="Arial"/>
          <w:lang w:val="en-GB" w:eastAsia="de-DE" w:bidi="en-US"/>
        </w:rPr>
        <w:t>. In this way, the hot gas cleaning and conditioning is carried out at a temperature close to the gasification temperature (&gt;</w:t>
      </w:r>
      <w:r w:rsidR="00D94589">
        <w:rPr>
          <w:rFonts w:cs="Arial"/>
          <w:lang w:val="en-GB" w:eastAsia="de-DE" w:bidi="en-US"/>
        </w:rPr>
        <w:t xml:space="preserve"> </w:t>
      </w:r>
      <w:r w:rsidR="001A0AB6" w:rsidRPr="001A0AB6">
        <w:rPr>
          <w:rFonts w:cs="Arial"/>
          <w:lang w:val="en-GB" w:eastAsia="de-DE" w:bidi="en-US"/>
        </w:rPr>
        <w:t>700°C). One aspect to be considered for the catalytic steam reforming of tar is the presence of sulphur compounds in the gas like H</w:t>
      </w:r>
      <w:r w:rsidR="001A0AB6" w:rsidRPr="005004AF">
        <w:rPr>
          <w:rFonts w:cs="Arial"/>
          <w:vertAlign w:val="subscript"/>
          <w:lang w:val="en-GB" w:eastAsia="de-DE" w:bidi="en-US"/>
        </w:rPr>
        <w:t>2</w:t>
      </w:r>
      <w:r w:rsidR="001A0AB6" w:rsidRPr="001A0AB6">
        <w:rPr>
          <w:rFonts w:cs="Arial"/>
          <w:lang w:val="en-GB" w:eastAsia="de-DE" w:bidi="en-US"/>
        </w:rPr>
        <w:t>S. These compounds can easily deactivate the catalyst, reducing tar conversion efficiency. Ma et al.</w:t>
      </w:r>
      <w:r w:rsidR="00F5405B">
        <w:rPr>
          <w:rFonts w:cs="Arial"/>
          <w:lang w:val="en-GB" w:eastAsia="de-DE" w:bidi="en-US"/>
        </w:rPr>
        <w:t xml:space="preserve"> (2005)</w:t>
      </w:r>
      <w:r w:rsidR="00ED6839">
        <w:rPr>
          <w:rFonts w:cs="Arial"/>
          <w:lang w:val="en-GB" w:eastAsia="de-DE" w:bidi="en-US"/>
        </w:rPr>
        <w:t xml:space="preserve"> </w:t>
      </w:r>
      <w:r w:rsidR="001A0AB6" w:rsidRPr="001A0AB6">
        <w:rPr>
          <w:rFonts w:cs="Arial"/>
          <w:lang w:val="en-GB" w:eastAsia="de-DE" w:bidi="en-US"/>
        </w:rPr>
        <w:t xml:space="preserve">found </w:t>
      </w:r>
      <w:r w:rsidR="001A0AB6" w:rsidRPr="001A0AB6">
        <w:rPr>
          <w:rFonts w:cs="Arial"/>
          <w:lang w:val="en-GB" w:eastAsia="de-DE" w:bidi="en-US"/>
        </w:rPr>
        <w:lastRenderedPageBreak/>
        <w:t>that the deactivation of Ni is reversible up to H</w:t>
      </w:r>
      <w:r w:rsidR="001A0AB6" w:rsidRPr="005004AF">
        <w:rPr>
          <w:rFonts w:cs="Arial"/>
          <w:vertAlign w:val="subscript"/>
          <w:lang w:val="en-GB" w:eastAsia="de-DE" w:bidi="en-US"/>
        </w:rPr>
        <w:t>2</w:t>
      </w:r>
      <w:r w:rsidR="001A0AB6" w:rsidRPr="001A0AB6">
        <w:rPr>
          <w:rFonts w:cs="Arial"/>
          <w:lang w:val="en-GB" w:eastAsia="de-DE" w:bidi="en-US"/>
        </w:rPr>
        <w:t xml:space="preserve">S concentration of 200 </w:t>
      </w:r>
      <w:proofErr w:type="spellStart"/>
      <w:r w:rsidR="001A0AB6" w:rsidRPr="001A0AB6">
        <w:rPr>
          <w:rFonts w:cs="Arial"/>
          <w:lang w:val="en-GB" w:eastAsia="de-DE" w:bidi="en-US"/>
        </w:rPr>
        <w:t>ppm</w:t>
      </w:r>
      <w:r w:rsidR="001A0AB6" w:rsidRPr="005004AF">
        <w:rPr>
          <w:rFonts w:cs="Arial"/>
          <w:vertAlign w:val="subscript"/>
          <w:lang w:val="en-GB" w:eastAsia="de-DE" w:bidi="en-US"/>
        </w:rPr>
        <w:t>v</w:t>
      </w:r>
      <w:proofErr w:type="spellEnd"/>
      <w:r w:rsidR="001A0AB6" w:rsidRPr="001A0AB6">
        <w:rPr>
          <w:rFonts w:cs="Arial"/>
          <w:lang w:val="en-GB" w:eastAsia="de-DE" w:bidi="en-US"/>
        </w:rPr>
        <w:t xml:space="preserve"> at all the temperatures investigated (750-900°C), with only physical adsorption of H</w:t>
      </w:r>
      <w:r w:rsidR="001A0AB6" w:rsidRPr="005004AF">
        <w:rPr>
          <w:rFonts w:cs="Arial"/>
          <w:vertAlign w:val="subscript"/>
          <w:lang w:val="en-GB" w:eastAsia="de-DE" w:bidi="en-US"/>
        </w:rPr>
        <w:t>2</w:t>
      </w:r>
      <w:r w:rsidR="001A0AB6" w:rsidRPr="001A0AB6">
        <w:rPr>
          <w:rFonts w:cs="Arial"/>
          <w:lang w:val="en-GB" w:eastAsia="de-DE" w:bidi="en-US"/>
        </w:rPr>
        <w:t xml:space="preserve">S on Ni catalytic sites occurring. Depner and Jess </w:t>
      </w:r>
      <w:r w:rsidR="00F5405B">
        <w:rPr>
          <w:rFonts w:cs="Arial"/>
          <w:lang w:val="en-GB" w:eastAsia="de-DE" w:bidi="en-US"/>
        </w:rPr>
        <w:t xml:space="preserve">(1999) </w:t>
      </w:r>
      <w:r w:rsidR="001A0AB6" w:rsidRPr="001A0AB6">
        <w:rPr>
          <w:rFonts w:cs="Arial"/>
          <w:lang w:val="en-GB" w:eastAsia="de-DE" w:bidi="en-US"/>
        </w:rPr>
        <w:t>determined that the upper limit of reversible H</w:t>
      </w:r>
      <w:r w:rsidR="001A0AB6" w:rsidRPr="005004AF">
        <w:rPr>
          <w:rFonts w:cs="Arial"/>
          <w:vertAlign w:val="subscript"/>
          <w:lang w:val="en-GB" w:eastAsia="de-DE" w:bidi="en-US"/>
        </w:rPr>
        <w:t>2</w:t>
      </w:r>
      <w:r w:rsidR="001A0AB6" w:rsidRPr="001A0AB6">
        <w:rPr>
          <w:rFonts w:cs="Arial"/>
          <w:lang w:val="en-GB" w:eastAsia="de-DE" w:bidi="en-US"/>
        </w:rPr>
        <w:t>S deactivation is 0.1 vol% of H</w:t>
      </w:r>
      <w:r w:rsidR="001A0AB6" w:rsidRPr="005004AF">
        <w:rPr>
          <w:rFonts w:cs="Arial"/>
          <w:vertAlign w:val="subscript"/>
          <w:lang w:val="en-GB" w:eastAsia="de-DE" w:bidi="en-US"/>
        </w:rPr>
        <w:t>2</w:t>
      </w:r>
      <w:r w:rsidR="001A0AB6" w:rsidRPr="001A0AB6">
        <w:rPr>
          <w:rFonts w:cs="Arial"/>
          <w:lang w:val="en-GB" w:eastAsia="de-DE" w:bidi="en-US"/>
        </w:rPr>
        <w:t xml:space="preserve">S, using a commercial Ni-catalyst for tar steam reforming; at higher concentrations, Ni-sulphide formation was reported. </w:t>
      </w:r>
    </w:p>
    <w:p w14:paraId="38A62A72" w14:textId="13B0ACC6" w:rsidR="007053A4" w:rsidRDefault="00470175" w:rsidP="005004AF">
      <w:pPr>
        <w:pStyle w:val="CETBodytext"/>
        <w:rPr>
          <w:rFonts w:cs="Arial"/>
          <w:lang w:val="en-GB" w:eastAsia="de-DE" w:bidi="en-US"/>
        </w:rPr>
      </w:pPr>
      <w:bookmarkStart w:id="1" w:name="_Hlk158887229"/>
      <w:r w:rsidRPr="00545349">
        <w:t xml:space="preserve">The objective of this study is to experimentally assess the catalytic </w:t>
      </w:r>
      <w:r w:rsidR="00DE600F">
        <w:t xml:space="preserve">performance in </w:t>
      </w:r>
      <w:r w:rsidRPr="00545349">
        <w:t xml:space="preserve">steam reforming of tar </w:t>
      </w:r>
      <w:r>
        <w:t xml:space="preserve">of </w:t>
      </w:r>
      <w:r w:rsidRPr="00545349">
        <w:t xml:space="preserve">a novel catalyst designated as C&amp;CS #1050 B. First, the behavior of the novel catalyst was compared to that of </w:t>
      </w:r>
      <w:r>
        <w:t>a</w:t>
      </w:r>
      <w:r w:rsidRPr="00545349">
        <w:t xml:space="preserve"> commercially available Ni-catalyst. Experimental tests were conducted at various temperatures with process conditions </w:t>
      </w:r>
      <w:proofErr w:type="gramStart"/>
      <w:r w:rsidR="00317E3E">
        <w:t>similar to</w:t>
      </w:r>
      <w:proofErr w:type="gramEnd"/>
      <w:r w:rsidRPr="00545349">
        <w:t xml:space="preserve"> those of a catalytic filter candle used in gasification tests</w:t>
      </w:r>
      <w:r w:rsidR="00317E3E">
        <w:t xml:space="preserve"> and</w:t>
      </w:r>
      <w:r w:rsidRPr="00545349">
        <w:t xml:space="preserve"> focusing on the residence time of gas </w:t>
      </w:r>
      <w:r w:rsidR="00317E3E">
        <w:t>i</w:t>
      </w:r>
      <w:r w:rsidRPr="00545349">
        <w:t xml:space="preserve">n the catalytic fixed bed as well as </w:t>
      </w:r>
      <w:r>
        <w:rPr>
          <w:rFonts w:cs="Arial"/>
          <w:lang w:val="en-GB" w:eastAsia="de-DE" w:bidi="en-US"/>
        </w:rPr>
        <w:t>H</w:t>
      </w:r>
      <w:r w:rsidRPr="005C7F56">
        <w:rPr>
          <w:rFonts w:cs="Arial"/>
          <w:vertAlign w:val="subscript"/>
          <w:lang w:val="en-GB" w:eastAsia="de-DE" w:bidi="en-US"/>
        </w:rPr>
        <w:t>2</w:t>
      </w:r>
      <w:r>
        <w:rPr>
          <w:rFonts w:cs="Arial"/>
          <w:lang w:val="en-GB" w:eastAsia="de-DE" w:bidi="en-US"/>
        </w:rPr>
        <w:t>S and tar content</w:t>
      </w:r>
      <w:r w:rsidRPr="00885002">
        <w:rPr>
          <w:rFonts w:cs="Arial"/>
          <w:lang w:val="en-GB" w:eastAsia="de-DE" w:bidi="en-US"/>
        </w:rPr>
        <w:t xml:space="preserve">. Additionally, </w:t>
      </w:r>
      <w:r>
        <w:rPr>
          <w:rFonts w:cs="Arial"/>
          <w:lang w:val="en-GB" w:eastAsia="de-DE" w:bidi="en-US"/>
        </w:rPr>
        <w:t xml:space="preserve">the </w:t>
      </w:r>
      <w:r w:rsidRPr="00545349">
        <w:t xml:space="preserve">inhibitory </w:t>
      </w:r>
      <w:r>
        <w:rPr>
          <w:rFonts w:cs="Arial"/>
          <w:lang w:val="en-GB" w:eastAsia="de-DE" w:bidi="en-US"/>
        </w:rPr>
        <w:t>effect of H</w:t>
      </w:r>
      <w:r w:rsidRPr="005C7F56">
        <w:rPr>
          <w:rFonts w:cs="Arial"/>
          <w:vertAlign w:val="subscript"/>
          <w:lang w:val="en-GB" w:eastAsia="de-DE" w:bidi="en-US"/>
        </w:rPr>
        <w:t>2</w:t>
      </w:r>
      <w:r>
        <w:rPr>
          <w:rFonts w:cs="Arial"/>
          <w:lang w:val="en-GB" w:eastAsia="de-DE" w:bidi="en-US"/>
        </w:rPr>
        <w:t>S was evaluated under</w:t>
      </w:r>
      <w:r w:rsidRPr="00885002">
        <w:rPr>
          <w:rFonts w:cs="Arial"/>
          <w:lang w:val="en-GB" w:eastAsia="de-DE" w:bidi="en-US"/>
        </w:rPr>
        <w:t xml:space="preserve"> worst-case conditions </w:t>
      </w:r>
      <w:r w:rsidR="00317E3E">
        <w:rPr>
          <w:rFonts w:cs="Arial"/>
          <w:lang w:val="en-GB" w:eastAsia="de-DE" w:bidi="en-US"/>
        </w:rPr>
        <w:t>by reducing the</w:t>
      </w:r>
      <w:r w:rsidRPr="00885002">
        <w:rPr>
          <w:rFonts w:cs="Arial"/>
          <w:lang w:val="en-GB" w:eastAsia="de-DE" w:bidi="en-US"/>
        </w:rPr>
        <w:t xml:space="preserve"> temperature</w:t>
      </w:r>
      <w:r>
        <w:rPr>
          <w:rFonts w:cs="Arial"/>
          <w:lang w:val="en-GB" w:eastAsia="de-DE" w:bidi="en-US"/>
        </w:rPr>
        <w:t xml:space="preserve"> and</w:t>
      </w:r>
      <w:r w:rsidRPr="00885002">
        <w:rPr>
          <w:rFonts w:cs="Arial"/>
          <w:lang w:val="en-GB" w:eastAsia="de-DE" w:bidi="en-US"/>
        </w:rPr>
        <w:t xml:space="preserve"> residence time</w:t>
      </w:r>
      <w:r>
        <w:rPr>
          <w:rFonts w:cs="Arial"/>
          <w:lang w:val="en-GB" w:eastAsia="de-DE" w:bidi="en-US"/>
        </w:rPr>
        <w:t>, to assess the potential use of the</w:t>
      </w:r>
      <w:r w:rsidRPr="00885002">
        <w:rPr>
          <w:rFonts w:cs="Arial"/>
          <w:lang w:val="en-GB" w:eastAsia="de-DE" w:bidi="en-US"/>
        </w:rPr>
        <w:t xml:space="preserve"> C&amp;CS #1050 B</w:t>
      </w:r>
      <w:r>
        <w:rPr>
          <w:rFonts w:cs="Arial"/>
          <w:lang w:val="en-GB" w:eastAsia="de-DE" w:bidi="en-US"/>
        </w:rPr>
        <w:t xml:space="preserve"> catalyst in low-temperature gasification.</w:t>
      </w:r>
    </w:p>
    <w:bookmarkEnd w:id="1"/>
    <w:p w14:paraId="61A9B77A" w14:textId="087DF5FF" w:rsidR="00600535" w:rsidRPr="00AF2498" w:rsidRDefault="007840DC" w:rsidP="007840DC">
      <w:pPr>
        <w:pStyle w:val="CETHeading1"/>
      </w:pPr>
      <w:r>
        <w:t>Experimental</w:t>
      </w:r>
    </w:p>
    <w:p w14:paraId="516EF6A0" w14:textId="676B5F20" w:rsidR="00435254" w:rsidRDefault="00435254" w:rsidP="00B94090">
      <w:pPr>
        <w:pStyle w:val="CETBodytext"/>
        <w:spacing w:line="240" w:lineRule="auto"/>
        <w:rPr>
          <w:rFonts w:cs="Arial"/>
          <w:lang w:val="en-GB" w:eastAsia="de-DE" w:bidi="en-US"/>
        </w:rPr>
      </w:pPr>
      <w:r>
        <w:rPr>
          <w:rFonts w:cs="Arial"/>
          <w:lang w:val="en-GB" w:eastAsia="de-DE" w:bidi="en-US"/>
        </w:rPr>
        <w:t>An inventive catalyst production method was used to prepare t</w:t>
      </w:r>
      <w:r w:rsidR="00B60AE0">
        <w:rPr>
          <w:rFonts w:cs="Arial"/>
          <w:lang w:val="en-GB" w:eastAsia="de-DE" w:bidi="en-US"/>
        </w:rPr>
        <w:t xml:space="preserve">he </w:t>
      </w:r>
      <w:r w:rsidR="00B60AE0" w:rsidRPr="00B60AE0">
        <w:rPr>
          <w:rFonts w:cs="Arial"/>
          <w:lang w:val="en-GB" w:eastAsia="de-DE" w:bidi="en-US"/>
        </w:rPr>
        <w:t>tar reforming Ni-catalyst C&amp;CS #1050 B</w:t>
      </w:r>
      <w:r>
        <w:rPr>
          <w:rFonts w:cs="Arial"/>
          <w:lang w:val="en-GB" w:eastAsia="de-DE" w:bidi="en-US"/>
        </w:rPr>
        <w:t>. The method was developed by C&amp;CS catalysts and chemical specialties GmbH</w:t>
      </w:r>
      <w:r w:rsidR="00F5405B">
        <w:rPr>
          <w:rFonts w:cs="Arial"/>
          <w:lang w:val="en-GB" w:eastAsia="de-DE" w:bidi="en-US"/>
        </w:rPr>
        <w:t xml:space="preserve"> within the scope of </w:t>
      </w:r>
      <w:r w:rsidR="0023657E">
        <w:rPr>
          <w:rFonts w:cs="Arial"/>
          <w:lang w:val="en-GB" w:eastAsia="de-DE" w:bidi="en-US"/>
        </w:rPr>
        <w:t>a</w:t>
      </w:r>
      <w:r w:rsidR="00F5405B">
        <w:rPr>
          <w:rFonts w:cs="Arial"/>
          <w:lang w:val="en-GB" w:eastAsia="de-DE" w:bidi="en-US"/>
        </w:rPr>
        <w:t xml:space="preserve"> European project</w:t>
      </w:r>
      <w:r w:rsidR="0023657E">
        <w:rPr>
          <w:rFonts w:cs="Arial"/>
          <w:lang w:val="en-GB" w:eastAsia="de-DE" w:bidi="en-US"/>
        </w:rPr>
        <w:t xml:space="preserve"> (CE Project MEMBER, 2022)</w:t>
      </w:r>
      <w:r>
        <w:rPr>
          <w:rFonts w:cs="Arial"/>
          <w:lang w:val="en-GB" w:eastAsia="de-DE" w:bidi="en-US"/>
        </w:rPr>
        <w:t>.</w:t>
      </w:r>
      <w:r w:rsidR="00463EE1" w:rsidRPr="00463EE1">
        <w:rPr>
          <w:rFonts w:cs="Arial"/>
          <w:lang w:val="en-GB" w:eastAsia="de-DE" w:bidi="en-US"/>
        </w:rPr>
        <w:t xml:space="preserve"> </w:t>
      </w:r>
    </w:p>
    <w:p w14:paraId="1A8FF438" w14:textId="428B5A83" w:rsidR="00317E3E" w:rsidRDefault="00317E3E" w:rsidP="00B94090">
      <w:pPr>
        <w:pStyle w:val="CETBodytext"/>
        <w:spacing w:line="240" w:lineRule="auto"/>
        <w:rPr>
          <w:rFonts w:cs="Arial"/>
          <w:lang w:val="en-GB" w:eastAsia="de-DE" w:bidi="en-US"/>
        </w:rPr>
      </w:pPr>
      <w:r>
        <w:rPr>
          <w:rFonts w:cs="Arial"/>
          <w:lang w:val="en-GB" w:eastAsia="de-DE" w:bidi="en-US"/>
        </w:rPr>
        <w:t>Based on a suitable MgO-Al</w:t>
      </w:r>
      <w:r w:rsidRPr="00CC0853">
        <w:rPr>
          <w:rFonts w:cs="Arial"/>
          <w:vertAlign w:val="subscript"/>
          <w:lang w:val="en-GB" w:eastAsia="de-DE" w:bidi="en-US"/>
        </w:rPr>
        <w:t>2</w:t>
      </w:r>
      <w:r>
        <w:rPr>
          <w:rFonts w:cs="Arial"/>
          <w:lang w:val="en-GB" w:eastAsia="de-DE" w:bidi="en-US"/>
        </w:rPr>
        <w:t>O</w:t>
      </w:r>
      <w:r w:rsidRPr="00CC0853">
        <w:rPr>
          <w:rFonts w:cs="Arial"/>
          <w:vertAlign w:val="subscript"/>
          <w:lang w:val="en-GB" w:eastAsia="de-DE" w:bidi="en-US"/>
        </w:rPr>
        <w:t>3</w:t>
      </w:r>
      <w:r>
        <w:rPr>
          <w:rFonts w:cs="Arial"/>
          <w:lang w:val="en-GB" w:eastAsia="de-DE" w:bidi="en-US"/>
        </w:rPr>
        <w:t xml:space="preserve"> hydroxy</w:t>
      </w:r>
      <w:r w:rsidR="00662795">
        <w:rPr>
          <w:rFonts w:cs="Arial"/>
          <w:lang w:val="en-GB" w:eastAsia="de-DE" w:bidi="en-US"/>
        </w:rPr>
        <w:t xml:space="preserve"> </w:t>
      </w:r>
      <w:r>
        <w:rPr>
          <w:rFonts w:cs="Arial"/>
          <w:lang w:val="en-GB" w:eastAsia="de-DE" w:bidi="en-US"/>
        </w:rPr>
        <w:t xml:space="preserve">carbonate precursor, that was chemically modified </w:t>
      </w:r>
      <w:r w:rsidR="00D01C9D">
        <w:rPr>
          <w:rFonts w:cs="Arial"/>
          <w:lang w:val="en-GB" w:eastAsia="de-DE" w:bidi="en-US"/>
        </w:rPr>
        <w:t>with</w:t>
      </w:r>
      <w:r>
        <w:rPr>
          <w:rFonts w:cs="Arial"/>
          <w:lang w:val="en-GB" w:eastAsia="de-DE" w:bidi="en-US"/>
        </w:rPr>
        <w:t xml:space="preserve"> an Al</w:t>
      </w:r>
      <w:r w:rsidRPr="00CC0853">
        <w:rPr>
          <w:rFonts w:cs="Arial"/>
          <w:vertAlign w:val="subscript"/>
          <w:lang w:val="en-GB" w:eastAsia="de-DE" w:bidi="en-US"/>
        </w:rPr>
        <w:t>2</w:t>
      </w:r>
      <w:r>
        <w:rPr>
          <w:rFonts w:cs="Arial"/>
          <w:lang w:val="en-GB" w:eastAsia="de-DE" w:bidi="en-US"/>
        </w:rPr>
        <w:t>O</w:t>
      </w:r>
      <w:r w:rsidRPr="00CC0853">
        <w:rPr>
          <w:rFonts w:cs="Arial"/>
          <w:vertAlign w:val="subscript"/>
          <w:lang w:val="en-GB" w:eastAsia="de-DE" w:bidi="en-US"/>
        </w:rPr>
        <w:t>3</w:t>
      </w:r>
      <w:r>
        <w:rPr>
          <w:rFonts w:cs="Arial"/>
          <w:lang w:val="en-GB" w:eastAsia="de-DE" w:bidi="en-US"/>
        </w:rPr>
        <w:t xml:space="preserve"> precursor, a support material with a hi</w:t>
      </w:r>
      <w:r w:rsidR="00D01C9D">
        <w:rPr>
          <w:rFonts w:cs="Arial"/>
          <w:lang w:val="en-GB" w:eastAsia="de-DE" w:bidi="en-US"/>
        </w:rPr>
        <w:t>gh</w:t>
      </w:r>
      <w:r>
        <w:rPr>
          <w:rFonts w:cs="Arial"/>
          <w:lang w:val="en-GB" w:eastAsia="de-DE" w:bidi="en-US"/>
        </w:rPr>
        <w:t xml:space="preserve"> surface area was obtained after drying, calcination and sieving.</w:t>
      </w:r>
      <w:r w:rsidR="00D01C9D">
        <w:rPr>
          <w:rFonts w:cs="Arial"/>
          <w:lang w:val="en-GB" w:eastAsia="de-DE" w:bidi="en-US"/>
        </w:rPr>
        <w:t xml:space="preserve"> In a subsequent incipient wetness impregnation of the porous support material by a </w:t>
      </w:r>
      <w:proofErr w:type="spellStart"/>
      <w:r w:rsidR="00D01C9D">
        <w:rPr>
          <w:rFonts w:cs="Arial"/>
          <w:lang w:val="en-GB" w:eastAsia="de-DE" w:bidi="en-US"/>
        </w:rPr>
        <w:t>NiO</w:t>
      </w:r>
      <w:proofErr w:type="spellEnd"/>
      <w:r w:rsidR="00D01C9D">
        <w:rPr>
          <w:rFonts w:cs="Arial"/>
          <w:lang w:val="en-GB" w:eastAsia="de-DE" w:bidi="en-US"/>
        </w:rPr>
        <w:t xml:space="preserve"> precursor the MgO-Al</w:t>
      </w:r>
      <w:r w:rsidR="00D01C9D" w:rsidRPr="00CC0853">
        <w:rPr>
          <w:rFonts w:cs="Arial"/>
          <w:vertAlign w:val="subscript"/>
          <w:lang w:val="en-GB" w:eastAsia="de-DE" w:bidi="en-US"/>
        </w:rPr>
        <w:t>2</w:t>
      </w:r>
      <w:r w:rsidR="00D01C9D">
        <w:rPr>
          <w:rFonts w:cs="Arial"/>
          <w:lang w:val="en-GB" w:eastAsia="de-DE" w:bidi="en-US"/>
        </w:rPr>
        <w:t>O</w:t>
      </w:r>
      <w:r w:rsidR="00D01C9D" w:rsidRPr="00CC0853">
        <w:rPr>
          <w:rFonts w:cs="Arial"/>
          <w:vertAlign w:val="subscript"/>
          <w:lang w:val="en-GB" w:eastAsia="de-DE" w:bidi="en-US"/>
        </w:rPr>
        <w:t>3</w:t>
      </w:r>
      <w:r w:rsidR="00D01C9D">
        <w:rPr>
          <w:rFonts w:cs="Arial"/>
          <w:lang w:val="en-GB" w:eastAsia="de-DE" w:bidi="en-US"/>
        </w:rPr>
        <w:t xml:space="preserve">-NIO catalyst C&amp;CS #1050 B </w:t>
      </w:r>
      <w:r w:rsidR="00662795">
        <w:rPr>
          <w:rFonts w:cs="Arial"/>
          <w:lang w:val="en-GB" w:eastAsia="de-DE" w:bidi="en-US"/>
        </w:rPr>
        <w:t>wa</w:t>
      </w:r>
      <w:r w:rsidR="00D01C9D">
        <w:rPr>
          <w:rFonts w:cs="Arial"/>
          <w:lang w:val="en-GB" w:eastAsia="de-DE" w:bidi="en-US"/>
        </w:rPr>
        <w:t xml:space="preserve">s obtained after drying and calcination. The 0.25 – 0.5 mm catalyst grain fraction consists of &gt; 40% MgO, &lt; 30% </w:t>
      </w:r>
      <w:r w:rsidR="00662795">
        <w:rPr>
          <w:rFonts w:cs="Arial"/>
          <w:lang w:val="en-GB" w:eastAsia="de-DE" w:bidi="en-US"/>
        </w:rPr>
        <w:t>A</w:t>
      </w:r>
      <w:r w:rsidR="00D01C9D">
        <w:rPr>
          <w:rFonts w:cs="Arial"/>
          <w:lang w:val="en-GB" w:eastAsia="de-DE" w:bidi="en-US"/>
        </w:rPr>
        <w:t>l</w:t>
      </w:r>
      <w:r w:rsidR="00D01C9D" w:rsidRPr="00CC0853">
        <w:rPr>
          <w:rFonts w:cs="Arial"/>
          <w:vertAlign w:val="subscript"/>
          <w:lang w:val="en-GB" w:eastAsia="de-DE" w:bidi="en-US"/>
        </w:rPr>
        <w:t>2</w:t>
      </w:r>
      <w:r w:rsidR="00D01C9D">
        <w:rPr>
          <w:rFonts w:cs="Arial"/>
          <w:lang w:val="en-GB" w:eastAsia="de-DE" w:bidi="en-US"/>
        </w:rPr>
        <w:t>O</w:t>
      </w:r>
      <w:r w:rsidR="00D01C9D" w:rsidRPr="00CC0853">
        <w:rPr>
          <w:rFonts w:cs="Arial"/>
          <w:vertAlign w:val="subscript"/>
          <w:lang w:val="en-GB" w:eastAsia="de-DE" w:bidi="en-US"/>
        </w:rPr>
        <w:t>3</w:t>
      </w:r>
      <w:r w:rsidR="00D01C9D">
        <w:rPr>
          <w:rFonts w:cs="Arial"/>
          <w:lang w:val="en-GB" w:eastAsia="de-DE" w:bidi="en-US"/>
        </w:rPr>
        <w:t xml:space="preserve"> and 31% </w:t>
      </w:r>
      <w:proofErr w:type="spellStart"/>
      <w:r w:rsidR="00D01C9D">
        <w:rPr>
          <w:rFonts w:cs="Arial"/>
          <w:lang w:val="en-GB" w:eastAsia="de-DE" w:bidi="en-US"/>
        </w:rPr>
        <w:t>NiO</w:t>
      </w:r>
      <w:proofErr w:type="spellEnd"/>
      <w:r w:rsidR="00D01C9D">
        <w:rPr>
          <w:rFonts w:cs="Arial"/>
          <w:lang w:val="en-GB" w:eastAsia="de-DE" w:bidi="en-US"/>
        </w:rPr>
        <w:t>.</w:t>
      </w:r>
    </w:p>
    <w:p w14:paraId="1A0D6219" w14:textId="5772FF5E" w:rsidR="000031EF" w:rsidRDefault="000031EF" w:rsidP="00B94090">
      <w:pPr>
        <w:pStyle w:val="CETBodytext"/>
        <w:spacing w:line="240" w:lineRule="auto"/>
        <w:rPr>
          <w:rFonts w:cs="Arial"/>
          <w:lang w:val="en-GB" w:eastAsia="de-DE" w:bidi="en-US"/>
        </w:rPr>
      </w:pPr>
      <w:r>
        <w:rPr>
          <w:rFonts w:cs="Arial"/>
          <w:lang w:val="en-GB" w:eastAsia="de-DE" w:bidi="en-US"/>
        </w:rPr>
        <w:t>In an examination of the BET surface area of C&amp;CS #1050 B it was found that still a high surface area of 58.3 m</w:t>
      </w:r>
      <w:r w:rsidRPr="00CC0853">
        <w:rPr>
          <w:rFonts w:cs="Arial"/>
          <w:vertAlign w:val="superscript"/>
          <w:lang w:val="en-GB" w:eastAsia="de-DE" w:bidi="en-US"/>
        </w:rPr>
        <w:t>2</w:t>
      </w:r>
      <w:r>
        <w:rPr>
          <w:rFonts w:cs="Arial"/>
          <w:lang w:val="en-GB" w:eastAsia="de-DE" w:bidi="en-US"/>
        </w:rPr>
        <w:t>/g was maintained after calcination at high temperature according to the inventive preparation procedure.</w:t>
      </w:r>
    </w:p>
    <w:p w14:paraId="6970675C" w14:textId="3F63FE2C" w:rsidR="00D90593" w:rsidRDefault="009F001D" w:rsidP="00B94090">
      <w:pPr>
        <w:pStyle w:val="CETBodytext"/>
        <w:spacing w:line="240" w:lineRule="auto"/>
        <w:rPr>
          <w:rFonts w:cs="Arial"/>
          <w:lang w:val="en-GB" w:eastAsia="de-DE" w:bidi="en-US"/>
        </w:rPr>
      </w:pPr>
      <w:r>
        <w:rPr>
          <w:rFonts w:cs="Arial"/>
          <w:lang w:val="en-GB" w:eastAsia="de-DE" w:bidi="en-US"/>
        </w:rPr>
        <w:fldChar w:fldCharType="begin"/>
      </w:r>
      <w:r>
        <w:rPr>
          <w:rFonts w:cs="Arial"/>
          <w:lang w:val="en-GB" w:eastAsia="de-DE" w:bidi="en-US"/>
        </w:rPr>
        <w:instrText xml:space="preserve"> REF _Ref153834247 \h </w:instrText>
      </w:r>
      <w:r>
        <w:rPr>
          <w:rFonts w:cs="Arial"/>
          <w:lang w:val="en-GB" w:eastAsia="de-DE" w:bidi="en-US"/>
        </w:rPr>
      </w:r>
      <w:r>
        <w:rPr>
          <w:rFonts w:cs="Arial"/>
          <w:lang w:val="en-GB" w:eastAsia="de-DE" w:bidi="en-US"/>
        </w:rPr>
        <w:fldChar w:fldCharType="separate"/>
      </w:r>
      <w:r>
        <w:t xml:space="preserve">Figure </w:t>
      </w:r>
      <w:r>
        <w:rPr>
          <w:noProof/>
        </w:rPr>
        <w:t>1</w:t>
      </w:r>
      <w:r>
        <w:rPr>
          <w:rFonts w:cs="Arial"/>
          <w:lang w:val="en-GB" w:eastAsia="de-DE" w:bidi="en-US"/>
        </w:rPr>
        <w:fldChar w:fldCharType="end"/>
      </w:r>
      <w:r>
        <w:rPr>
          <w:rFonts w:cs="Arial"/>
          <w:lang w:val="en-GB" w:eastAsia="de-DE" w:bidi="en-US"/>
        </w:rPr>
        <w:t xml:space="preserve"> </w:t>
      </w:r>
      <w:r w:rsidR="00435254">
        <w:rPr>
          <w:rFonts w:cs="Arial"/>
          <w:lang w:val="en-GB" w:eastAsia="de-DE" w:bidi="en-US"/>
        </w:rPr>
        <w:t xml:space="preserve">reports the </w:t>
      </w:r>
      <w:r w:rsidR="00435254" w:rsidRPr="00B60AE0">
        <w:rPr>
          <w:rFonts w:cs="Arial"/>
          <w:lang w:val="en-GB" w:eastAsia="de-DE" w:bidi="en-US"/>
        </w:rPr>
        <w:t xml:space="preserve">micro-reactor test rig </w:t>
      </w:r>
      <w:r w:rsidR="00435254">
        <w:rPr>
          <w:rFonts w:cs="Arial"/>
          <w:lang w:val="en-GB" w:eastAsia="de-DE" w:bidi="en-US"/>
        </w:rPr>
        <w:t>used to experimentally evaluate the</w:t>
      </w:r>
      <w:r w:rsidR="00D90593">
        <w:rPr>
          <w:rFonts w:cs="Arial"/>
          <w:lang w:val="en-GB" w:eastAsia="de-DE" w:bidi="en-US"/>
        </w:rPr>
        <w:t xml:space="preserve"> performance of</w:t>
      </w:r>
      <w:r w:rsidR="00435254">
        <w:rPr>
          <w:rFonts w:cs="Arial"/>
          <w:lang w:val="en-GB" w:eastAsia="de-DE" w:bidi="en-US"/>
        </w:rPr>
        <w:t xml:space="preserve"> catalytic steam reforming of tar</w:t>
      </w:r>
      <w:r w:rsidR="00D90593">
        <w:rPr>
          <w:rFonts w:cs="Arial"/>
          <w:lang w:val="en-GB" w:eastAsia="de-DE" w:bidi="en-US"/>
        </w:rPr>
        <w:t xml:space="preserve"> </w:t>
      </w:r>
      <w:r w:rsidR="00662795">
        <w:rPr>
          <w:rFonts w:cs="Arial"/>
          <w:lang w:val="en-GB" w:eastAsia="de-DE" w:bidi="en-US"/>
        </w:rPr>
        <w:t xml:space="preserve">of C&amp;CS #1050 B versus a commercial Nickel based steam reforming catalyst </w:t>
      </w:r>
      <w:r w:rsidR="00D90593">
        <w:rPr>
          <w:rFonts w:cs="Arial"/>
          <w:lang w:val="en-GB" w:eastAsia="de-DE" w:bidi="en-US"/>
        </w:rPr>
        <w:t>and</w:t>
      </w:r>
      <w:r w:rsidR="000031EF">
        <w:rPr>
          <w:rFonts w:cs="Arial"/>
          <w:lang w:val="en-GB" w:eastAsia="de-DE" w:bidi="en-US"/>
        </w:rPr>
        <w:t xml:space="preserve"> to</w:t>
      </w:r>
      <w:r w:rsidR="00D90593">
        <w:rPr>
          <w:rFonts w:cs="Arial"/>
          <w:lang w:val="en-GB" w:eastAsia="de-DE" w:bidi="en-US"/>
        </w:rPr>
        <w:t xml:space="preserve"> find the best operating conditions to obtain a tar conversion close to 100 %.</w:t>
      </w:r>
    </w:p>
    <w:p w14:paraId="2524EC08" w14:textId="77777777" w:rsidR="00A6110B" w:rsidRDefault="00A6110B" w:rsidP="00B94090">
      <w:pPr>
        <w:pStyle w:val="CETBodytext"/>
        <w:spacing w:line="240" w:lineRule="auto"/>
        <w:rPr>
          <w:rFonts w:cs="Arial"/>
          <w:lang w:val="en-GB" w:eastAsia="de-DE" w:bidi="en-US"/>
        </w:rPr>
      </w:pPr>
    </w:p>
    <w:p w14:paraId="0EE35C66" w14:textId="77777777" w:rsidR="00A6110B" w:rsidRDefault="00A6110B" w:rsidP="00A6110B">
      <w:pPr>
        <w:pStyle w:val="CETBodytext"/>
        <w:keepNext/>
        <w:spacing w:line="240" w:lineRule="auto"/>
      </w:pPr>
      <w:r>
        <w:rPr>
          <w:noProof/>
        </w:rPr>
        <w:drawing>
          <wp:inline distT="0" distB="0" distL="0" distR="0" wp14:anchorId="1E33FB85" wp14:editId="073361D6">
            <wp:extent cx="5579745" cy="3982720"/>
            <wp:effectExtent l="0" t="0" r="1905" b="0"/>
            <wp:docPr id="99089795" name="Immagine 1"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9795" name="Immagine 1" descr="Immagine che contiene testo, diagramma, Piano, Disegno tecnico&#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3982720"/>
                    </a:xfrm>
                    <a:prstGeom prst="rect">
                      <a:avLst/>
                    </a:prstGeom>
                    <a:noFill/>
                    <a:ln>
                      <a:noFill/>
                    </a:ln>
                  </pic:spPr>
                </pic:pic>
              </a:graphicData>
            </a:graphic>
          </wp:inline>
        </w:drawing>
      </w:r>
    </w:p>
    <w:p w14:paraId="184DF6A1" w14:textId="32CEC4DA" w:rsidR="00A6110B" w:rsidRDefault="00A6110B" w:rsidP="00A6110B">
      <w:pPr>
        <w:pStyle w:val="CETCaption"/>
        <w:rPr>
          <w:rFonts w:cs="Arial"/>
          <w:lang w:eastAsia="de-DE" w:bidi="en-US"/>
        </w:rPr>
      </w:pPr>
      <w:bookmarkStart w:id="2" w:name="_Ref153834247"/>
      <w:r>
        <w:t xml:space="preserve">Figure </w:t>
      </w:r>
      <w:r>
        <w:fldChar w:fldCharType="begin"/>
      </w:r>
      <w:r>
        <w:instrText xml:space="preserve"> SEQ Figure \* ARABIC </w:instrText>
      </w:r>
      <w:r>
        <w:fldChar w:fldCharType="separate"/>
      </w:r>
      <w:r w:rsidR="0025403B">
        <w:rPr>
          <w:noProof/>
        </w:rPr>
        <w:t>1</w:t>
      </w:r>
      <w:r>
        <w:fldChar w:fldCharType="end"/>
      </w:r>
      <w:bookmarkEnd w:id="2"/>
      <w:r>
        <w:t>: Experimental test rig</w:t>
      </w:r>
    </w:p>
    <w:p w14:paraId="545D1091" w14:textId="7AE7CE77" w:rsidR="00D90593" w:rsidRPr="00CC0853" w:rsidRDefault="00D90593" w:rsidP="00B94090">
      <w:pPr>
        <w:pStyle w:val="CETBodytext"/>
        <w:spacing w:line="240" w:lineRule="auto"/>
        <w:rPr>
          <w:rFonts w:cs="Arial"/>
          <w:lang w:eastAsia="de-DE" w:bidi="en-US"/>
        </w:rPr>
      </w:pPr>
      <w:r>
        <w:rPr>
          <w:rFonts w:cs="Arial"/>
          <w:lang w:val="en-GB" w:eastAsia="de-DE" w:bidi="en-US"/>
        </w:rPr>
        <w:lastRenderedPageBreak/>
        <w:t>A fixed bed reactor (</w:t>
      </w:r>
      <w:r w:rsidR="00832E7C">
        <w:rPr>
          <w:rFonts w:cs="Arial"/>
          <w:lang w:val="en-GB" w:eastAsia="de-DE" w:bidi="en-US"/>
        </w:rPr>
        <w:t xml:space="preserve">stainless steel pipe, </w:t>
      </w:r>
      <w:r>
        <w:rPr>
          <w:rFonts w:cs="Arial"/>
          <w:lang w:val="en-GB" w:eastAsia="de-DE" w:bidi="en-US"/>
        </w:rPr>
        <w:t>ID= 16 mm; h= 0.5 m) was</w:t>
      </w:r>
      <w:r w:rsidR="00132872">
        <w:rPr>
          <w:rFonts w:cs="Arial"/>
          <w:lang w:val="en-GB" w:eastAsia="de-DE" w:bidi="en-US"/>
        </w:rPr>
        <w:t xml:space="preserve"> filled with 0.25 – 0.5 mm grains of the catalyst</w:t>
      </w:r>
      <w:r>
        <w:rPr>
          <w:rFonts w:cs="Arial"/>
          <w:lang w:val="en-GB" w:eastAsia="de-DE" w:bidi="en-US"/>
        </w:rPr>
        <w:t xml:space="preserve"> </w:t>
      </w:r>
      <w:r w:rsidR="00132872">
        <w:rPr>
          <w:rFonts w:cs="Arial"/>
          <w:lang w:val="en-GB" w:eastAsia="de-DE" w:bidi="en-US"/>
        </w:rPr>
        <w:t xml:space="preserve">and </w:t>
      </w:r>
      <w:r>
        <w:rPr>
          <w:rFonts w:cs="Arial"/>
          <w:lang w:val="en-GB" w:eastAsia="de-DE" w:bidi="en-US"/>
        </w:rPr>
        <w:t xml:space="preserve">heated up by an electric furnace </w:t>
      </w:r>
      <w:r w:rsidR="00AD54A4">
        <w:rPr>
          <w:rFonts w:cs="Arial"/>
          <w:lang w:val="en-GB" w:eastAsia="de-DE" w:bidi="en-US"/>
        </w:rPr>
        <w:t xml:space="preserve">which </w:t>
      </w:r>
      <w:r>
        <w:rPr>
          <w:rFonts w:cs="Arial"/>
          <w:lang w:val="en-GB" w:eastAsia="de-DE" w:bidi="en-US"/>
        </w:rPr>
        <w:t>allow</w:t>
      </w:r>
      <w:r w:rsidR="00AD54A4">
        <w:rPr>
          <w:rFonts w:cs="Arial"/>
          <w:lang w:val="en-GB" w:eastAsia="de-DE" w:bidi="en-US"/>
        </w:rPr>
        <w:t>s</w:t>
      </w:r>
      <w:r>
        <w:rPr>
          <w:rFonts w:cs="Arial"/>
          <w:lang w:val="en-GB" w:eastAsia="de-DE" w:bidi="en-US"/>
        </w:rPr>
        <w:t xml:space="preserve"> to maintain a stable process temperature. </w:t>
      </w:r>
      <w:r w:rsidRPr="00CC0853">
        <w:rPr>
          <w:rFonts w:cs="Arial"/>
          <w:lang w:eastAsia="de-DE" w:bidi="en-US"/>
        </w:rPr>
        <w:t xml:space="preserve">A detailed description of the test rig is reported in a previous work </w:t>
      </w:r>
      <w:sdt>
        <w:sdtPr>
          <w:rPr>
            <w:rFonts w:cs="Arial"/>
            <w:color w:val="000000"/>
            <w:lang w:val="en-GB" w:eastAsia="de-DE" w:bidi="en-US"/>
          </w:rPr>
          <w:tag w:val="MENDELEY_CITATION_v3_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"/>
          <w:id w:val="-1113279581"/>
          <w:placeholder>
            <w:docPart w:val="DefaultPlaceholder_-1854013440"/>
          </w:placeholder>
        </w:sdtPr>
        <w:sdtEndPr/>
        <w:sdtContent>
          <w:r w:rsidR="006D4063" w:rsidRPr="00CC0853">
            <w:rPr>
              <w:rFonts w:cs="Arial"/>
              <w:color w:val="000000"/>
              <w:lang w:eastAsia="de-DE" w:bidi="en-US"/>
            </w:rPr>
            <w:t>(Tacconi et al., 2022)</w:t>
          </w:r>
        </w:sdtContent>
      </w:sdt>
      <w:r w:rsidR="006D4063" w:rsidRPr="00CC0853">
        <w:rPr>
          <w:rFonts w:cs="Arial"/>
          <w:lang w:eastAsia="de-DE" w:bidi="en-US"/>
        </w:rPr>
        <w:t>.</w:t>
      </w:r>
    </w:p>
    <w:p w14:paraId="2499EA50" w14:textId="53315EF9" w:rsidR="007F7CBE" w:rsidRDefault="00D90593" w:rsidP="00B94090">
      <w:pPr>
        <w:pStyle w:val="CETBodytext"/>
        <w:spacing w:line="240" w:lineRule="auto"/>
        <w:rPr>
          <w:rFonts w:cs="Arial"/>
          <w:lang w:val="en-GB" w:eastAsia="de-DE" w:bidi="en-US"/>
        </w:rPr>
      </w:pPr>
      <w:r w:rsidRPr="00B60AE0">
        <w:rPr>
          <w:rFonts w:cs="Arial"/>
          <w:lang w:val="en-GB" w:eastAsia="de-DE" w:bidi="en-US"/>
        </w:rPr>
        <w:t>Toluene and naphthalene were chosen as tar key compounds, and to simulate the deactivating effect of sulphur compounds</w:t>
      </w:r>
      <w:r w:rsidR="006963EC">
        <w:rPr>
          <w:rFonts w:cs="Arial"/>
          <w:lang w:val="en-GB" w:eastAsia="de-DE" w:bidi="en-US"/>
        </w:rPr>
        <w:t xml:space="preserve">, 50 and 100 </w:t>
      </w:r>
      <w:proofErr w:type="spellStart"/>
      <w:r w:rsidR="006963EC">
        <w:rPr>
          <w:rFonts w:cs="Arial"/>
          <w:lang w:val="en-GB" w:eastAsia="de-DE" w:bidi="en-US"/>
        </w:rPr>
        <w:t>ppm</w:t>
      </w:r>
      <w:r w:rsidR="00132872">
        <w:rPr>
          <w:rFonts w:cs="Arial"/>
          <w:lang w:val="en-GB" w:eastAsia="de-DE" w:bidi="en-US"/>
        </w:rPr>
        <w:t>v</w:t>
      </w:r>
      <w:proofErr w:type="spellEnd"/>
      <w:r w:rsidR="006963EC">
        <w:rPr>
          <w:rFonts w:cs="Arial"/>
          <w:lang w:val="en-GB" w:eastAsia="de-DE" w:bidi="en-US"/>
        </w:rPr>
        <w:t xml:space="preserve"> of</w:t>
      </w:r>
      <w:r w:rsidRPr="00B60AE0">
        <w:rPr>
          <w:rFonts w:cs="Arial"/>
          <w:lang w:val="en-GB" w:eastAsia="de-DE" w:bidi="en-US"/>
        </w:rPr>
        <w:t xml:space="preserve"> thiophene w</w:t>
      </w:r>
      <w:r w:rsidR="006963EC">
        <w:rPr>
          <w:rFonts w:cs="Arial"/>
          <w:lang w:val="en-GB" w:eastAsia="de-DE" w:bidi="en-US"/>
        </w:rPr>
        <w:t>as</w:t>
      </w:r>
      <w:r w:rsidRPr="00B60AE0">
        <w:rPr>
          <w:rFonts w:cs="Arial"/>
          <w:lang w:val="en-GB" w:eastAsia="de-DE" w:bidi="en-US"/>
        </w:rPr>
        <w:t xml:space="preserve"> added to the toluene/naphthalene solution. The concentration of tar key-compounds was set to 13 g</w:t>
      </w:r>
      <w:r w:rsidR="009F001D">
        <w:rPr>
          <w:rFonts w:cs="Arial"/>
          <w:lang w:val="en-GB" w:eastAsia="de-DE" w:bidi="en-US"/>
        </w:rPr>
        <w:t>/</w:t>
      </w:r>
      <w:r w:rsidRPr="00B60AE0">
        <w:rPr>
          <w:rFonts w:cs="Arial"/>
          <w:lang w:val="en-GB" w:eastAsia="de-DE" w:bidi="en-US"/>
        </w:rPr>
        <w:t>Nm</w:t>
      </w:r>
      <w:r w:rsidRPr="00D90593">
        <w:rPr>
          <w:rFonts w:cs="Arial"/>
          <w:vertAlign w:val="superscript"/>
          <w:lang w:val="en-GB" w:eastAsia="de-DE" w:bidi="en-US"/>
        </w:rPr>
        <w:t>3</w:t>
      </w:r>
      <w:r w:rsidRPr="00D90593">
        <w:rPr>
          <w:rFonts w:cs="Arial"/>
          <w:vertAlign w:val="subscript"/>
          <w:lang w:val="en-GB" w:eastAsia="de-DE" w:bidi="en-US"/>
        </w:rPr>
        <w:t>dry</w:t>
      </w:r>
      <w:r w:rsidRPr="00B60AE0">
        <w:rPr>
          <w:rFonts w:cs="Arial"/>
          <w:lang w:val="en-GB" w:eastAsia="de-DE" w:bidi="en-US"/>
        </w:rPr>
        <w:t xml:space="preserve">, while the amount of water injected was that necessary to obtain a molar concentration of steam in the gas equal to </w:t>
      </w:r>
      <w:r w:rsidR="001356F9">
        <w:rPr>
          <w:rFonts w:cs="Arial"/>
          <w:lang w:val="en-GB" w:eastAsia="de-DE" w:bidi="en-US"/>
        </w:rPr>
        <w:t>30</w:t>
      </w:r>
      <w:r w:rsidRPr="00B60AE0">
        <w:rPr>
          <w:rFonts w:cs="Arial"/>
          <w:lang w:val="en-GB" w:eastAsia="de-DE" w:bidi="en-US"/>
        </w:rPr>
        <w:t xml:space="preserve">%. Nitrogen was used as a carrier gas to convey the vaporized fluids (tar and water) to the reactor. </w:t>
      </w:r>
      <w:r w:rsidR="007F7CBE">
        <w:rPr>
          <w:rFonts w:cs="Arial"/>
          <w:lang w:val="en-GB" w:eastAsia="de-DE" w:bidi="en-US"/>
        </w:rPr>
        <w:t xml:space="preserve">The mixture was preheated at 220 °C by electrical resistances. </w:t>
      </w:r>
      <w:r w:rsidRPr="00B60AE0">
        <w:rPr>
          <w:rFonts w:cs="Arial"/>
          <w:lang w:val="en-GB" w:eastAsia="de-DE" w:bidi="en-US"/>
        </w:rPr>
        <w:t>The nitrogen flow</w:t>
      </w:r>
      <w:r w:rsidR="00132872">
        <w:rPr>
          <w:rFonts w:cs="Arial"/>
          <w:lang w:val="en-GB" w:eastAsia="de-DE" w:bidi="en-US"/>
        </w:rPr>
        <w:t xml:space="preserve"> </w:t>
      </w:r>
      <w:r w:rsidRPr="00B60AE0">
        <w:rPr>
          <w:rFonts w:cs="Arial"/>
          <w:lang w:val="en-GB" w:eastAsia="de-DE" w:bidi="en-US"/>
        </w:rPr>
        <w:t xml:space="preserve">rate was chosen to simulate the flow rate of </w:t>
      </w:r>
      <w:r w:rsidR="00132872">
        <w:rPr>
          <w:rFonts w:cs="Arial"/>
          <w:lang w:val="en-GB" w:eastAsia="de-DE" w:bidi="en-US"/>
        </w:rPr>
        <w:t>a</w:t>
      </w:r>
      <w:r w:rsidRPr="00B60AE0">
        <w:rPr>
          <w:rFonts w:cs="Arial"/>
          <w:lang w:val="en-GB" w:eastAsia="de-DE" w:bidi="en-US"/>
        </w:rPr>
        <w:t xml:space="preserve"> </w:t>
      </w:r>
      <w:r w:rsidR="00132872">
        <w:rPr>
          <w:rFonts w:cs="Arial"/>
          <w:lang w:val="en-GB" w:eastAsia="de-DE" w:bidi="en-US"/>
        </w:rPr>
        <w:t>typical</w:t>
      </w:r>
      <w:r w:rsidRPr="00B60AE0">
        <w:rPr>
          <w:rFonts w:cs="Arial"/>
          <w:lang w:val="en-GB" w:eastAsia="de-DE" w:bidi="en-US"/>
        </w:rPr>
        <w:t xml:space="preserve"> syngas and enable specific quantification of tar conversion due to catalytic steam reforming by </w:t>
      </w:r>
      <w:proofErr w:type="spellStart"/>
      <w:r w:rsidR="00132872">
        <w:rPr>
          <w:rFonts w:cs="Arial"/>
          <w:lang w:val="en-GB" w:eastAsia="de-DE" w:bidi="en-US"/>
        </w:rPr>
        <w:t>analyzing</w:t>
      </w:r>
      <w:proofErr w:type="spellEnd"/>
      <w:r w:rsidR="00132872">
        <w:rPr>
          <w:rFonts w:cs="Arial"/>
          <w:lang w:val="en-GB" w:eastAsia="de-DE" w:bidi="en-US"/>
        </w:rPr>
        <w:t xml:space="preserve"> the </w:t>
      </w:r>
      <w:r w:rsidRPr="00B60AE0">
        <w:rPr>
          <w:rFonts w:cs="Arial"/>
          <w:lang w:val="en-GB" w:eastAsia="de-DE" w:bidi="en-US"/>
        </w:rPr>
        <w:t>carbon balance.</w:t>
      </w:r>
      <w:r w:rsidR="001356F9">
        <w:rPr>
          <w:rFonts w:cs="Arial"/>
          <w:lang w:val="en-GB" w:eastAsia="de-DE" w:bidi="en-US"/>
        </w:rPr>
        <w:t xml:space="preserve"> The outlet stream pass</w:t>
      </w:r>
      <w:r w:rsidR="00AD54A4">
        <w:rPr>
          <w:rFonts w:cs="Arial"/>
          <w:lang w:val="en-GB" w:eastAsia="de-DE" w:bidi="en-US"/>
        </w:rPr>
        <w:t>es</w:t>
      </w:r>
      <w:r w:rsidR="001356F9">
        <w:rPr>
          <w:rFonts w:cs="Arial"/>
          <w:lang w:val="en-GB" w:eastAsia="de-DE" w:bidi="en-US"/>
        </w:rPr>
        <w:t xml:space="preserve"> through a double pipe condenser maintained at </w:t>
      </w:r>
      <w:r w:rsidR="00463EE1">
        <w:rPr>
          <w:rFonts w:cs="Arial"/>
          <w:lang w:val="en-GB" w:eastAsia="de-DE" w:bidi="en-US"/>
        </w:rPr>
        <w:t>0</w:t>
      </w:r>
      <w:r w:rsidR="001356F9">
        <w:rPr>
          <w:rFonts w:cs="Arial"/>
          <w:lang w:val="en-GB" w:eastAsia="de-DE" w:bidi="en-US"/>
        </w:rPr>
        <w:t xml:space="preserve"> °C to condense water and condensable hydrocarbons. </w:t>
      </w:r>
      <w:r w:rsidR="006963EC">
        <w:rPr>
          <w:rFonts w:cs="Arial"/>
          <w:lang w:val="en-GB" w:eastAsia="de-DE" w:bidi="en-US"/>
        </w:rPr>
        <w:t xml:space="preserve">A mass flow controller was used to measure the </w:t>
      </w:r>
      <w:r w:rsidR="007F7CBE">
        <w:rPr>
          <w:rFonts w:cs="Arial"/>
          <w:lang w:val="en-GB" w:eastAsia="de-DE" w:bidi="en-US"/>
        </w:rPr>
        <w:t xml:space="preserve">dried </w:t>
      </w:r>
      <w:r w:rsidR="006963EC">
        <w:rPr>
          <w:rFonts w:cs="Arial"/>
          <w:lang w:val="en-GB" w:eastAsia="de-DE" w:bidi="en-US"/>
        </w:rPr>
        <w:t>outlet stream</w:t>
      </w:r>
      <w:r w:rsidR="007F7CBE">
        <w:rPr>
          <w:rFonts w:cs="Arial"/>
          <w:lang w:val="en-GB" w:eastAsia="de-DE" w:bidi="en-US"/>
        </w:rPr>
        <w:t xml:space="preserve"> flow rate </w:t>
      </w:r>
      <w:r w:rsidR="006963EC">
        <w:rPr>
          <w:rFonts w:cs="Arial"/>
          <w:lang w:val="en-GB" w:eastAsia="de-DE" w:bidi="en-US"/>
        </w:rPr>
        <w:t>(</w:t>
      </w:r>
      <m:oMath>
        <m:sSub>
          <m:sSubPr>
            <m:ctrlPr>
              <w:rPr>
                <w:rFonts w:ascii="Cambria Math" w:hAnsi="Cambria Math" w:cs="Arial"/>
                <w:i/>
                <w:lang w:val="en-GB" w:eastAsia="de-DE" w:bidi="en-US"/>
              </w:rPr>
            </m:ctrlPr>
          </m:sSubPr>
          <m:e>
            <m:r>
              <w:rPr>
                <w:rFonts w:ascii="Cambria Math" w:hAnsi="Cambria Math" w:cs="Arial"/>
                <w:lang w:val="en-GB" w:eastAsia="de-DE" w:bidi="en-US"/>
              </w:rPr>
              <m:t>F</m:t>
            </m:r>
          </m:e>
          <m:sub>
            <m:r>
              <w:rPr>
                <w:rFonts w:ascii="Cambria Math" w:hAnsi="Cambria Math" w:cs="Arial"/>
                <w:lang w:val="en-GB" w:eastAsia="de-DE" w:bidi="en-US"/>
              </w:rPr>
              <m:t>tot,OUT</m:t>
            </m:r>
          </m:sub>
        </m:sSub>
      </m:oMath>
      <w:r w:rsidR="006963EC">
        <w:rPr>
          <w:rFonts w:cs="Arial"/>
          <w:lang w:val="en-GB" w:eastAsia="de-DE" w:bidi="en-US"/>
        </w:rPr>
        <w:t>).</w:t>
      </w:r>
    </w:p>
    <w:p w14:paraId="7A91C89F" w14:textId="13B692B1" w:rsidR="006963EC" w:rsidRDefault="001356F9" w:rsidP="00B94090">
      <w:pPr>
        <w:pStyle w:val="CETBodytext"/>
        <w:spacing w:line="240" w:lineRule="auto"/>
        <w:rPr>
          <w:rFonts w:cs="Arial"/>
          <w:lang w:val="en-GB" w:eastAsia="de-DE" w:bidi="en-US"/>
        </w:rPr>
      </w:pPr>
      <w:r>
        <w:rPr>
          <w:rFonts w:cs="Arial"/>
          <w:lang w:val="en-GB" w:eastAsia="de-DE" w:bidi="en-US"/>
        </w:rPr>
        <w:t>Online ABB gas analysers w</w:t>
      </w:r>
      <w:r w:rsidR="009F001D">
        <w:rPr>
          <w:rFonts w:cs="Arial"/>
          <w:lang w:val="en-GB" w:eastAsia="de-DE" w:bidi="en-US"/>
        </w:rPr>
        <w:t>ere</w:t>
      </w:r>
      <w:r>
        <w:rPr>
          <w:rFonts w:cs="Arial"/>
          <w:lang w:val="en-GB" w:eastAsia="de-DE" w:bidi="en-US"/>
        </w:rPr>
        <w:t xml:space="preserve"> used to determine the composition of the outlet gas in terms of CO, CO</w:t>
      </w:r>
      <w:r w:rsidRPr="001356F9">
        <w:rPr>
          <w:rFonts w:cs="Arial"/>
          <w:vertAlign w:val="subscript"/>
          <w:lang w:val="en-GB" w:eastAsia="de-DE" w:bidi="en-US"/>
        </w:rPr>
        <w:t>2</w:t>
      </w:r>
      <w:r>
        <w:rPr>
          <w:rFonts w:cs="Arial"/>
          <w:lang w:val="en-GB" w:eastAsia="de-DE" w:bidi="en-US"/>
        </w:rPr>
        <w:t>, H</w:t>
      </w:r>
      <w:r w:rsidRPr="001356F9">
        <w:rPr>
          <w:rFonts w:cs="Arial"/>
          <w:vertAlign w:val="subscript"/>
          <w:lang w:val="en-GB" w:eastAsia="de-DE" w:bidi="en-US"/>
        </w:rPr>
        <w:t>2</w:t>
      </w:r>
      <w:r>
        <w:rPr>
          <w:rFonts w:cs="Arial"/>
          <w:lang w:val="en-GB" w:eastAsia="de-DE" w:bidi="en-US"/>
        </w:rPr>
        <w:t xml:space="preserve"> and CH</w:t>
      </w:r>
      <w:r w:rsidRPr="001356F9">
        <w:rPr>
          <w:rFonts w:cs="Arial"/>
          <w:vertAlign w:val="subscript"/>
          <w:lang w:val="en-GB" w:eastAsia="de-DE" w:bidi="en-US"/>
        </w:rPr>
        <w:t>4</w:t>
      </w:r>
      <w:r w:rsidR="006963EC">
        <w:rPr>
          <w:rFonts w:cs="Arial"/>
          <w:lang w:val="en-GB" w:eastAsia="de-DE" w:bidi="en-US"/>
        </w:rPr>
        <w:t xml:space="preserve"> volumetric percentage (</w:t>
      </w:r>
      <m:oMath>
        <m:sSub>
          <m:sSubPr>
            <m:ctrlPr>
              <w:rPr>
                <w:rFonts w:ascii="Cambria Math" w:hAnsi="Cambria Math" w:cs="Arial"/>
                <w:i/>
                <w:lang w:val="en-GB" w:eastAsia="de-DE" w:bidi="en-US"/>
              </w:rPr>
            </m:ctrlPr>
          </m:sSubPr>
          <m:e>
            <m:r>
              <w:rPr>
                <w:rFonts w:ascii="Cambria Math" w:hAnsi="Cambria Math" w:cs="Arial"/>
                <w:lang w:val="en-GB" w:eastAsia="de-DE" w:bidi="en-US"/>
              </w:rPr>
              <m:t>y</m:t>
            </m:r>
          </m:e>
          <m:sub>
            <m:r>
              <w:rPr>
                <w:rFonts w:ascii="Cambria Math" w:hAnsi="Cambria Math" w:cs="Arial"/>
                <w:lang w:val="en-GB" w:eastAsia="de-DE" w:bidi="en-US"/>
              </w:rPr>
              <m:t>i,OUT</m:t>
            </m:r>
          </m:sub>
        </m:sSub>
      </m:oMath>
      <w:r w:rsidR="006963EC">
        <w:rPr>
          <w:rFonts w:cs="Arial"/>
          <w:lang w:val="en-GB" w:eastAsia="de-DE" w:bidi="en-US"/>
        </w:rPr>
        <w:t>).</w:t>
      </w:r>
      <w:r>
        <w:rPr>
          <w:rFonts w:cs="Arial"/>
          <w:lang w:val="en-GB" w:eastAsia="de-DE" w:bidi="en-US"/>
        </w:rPr>
        <w:t xml:space="preserve"> </w:t>
      </w:r>
    </w:p>
    <w:p w14:paraId="793B936F" w14:textId="63E397D8" w:rsidR="007F7CBE" w:rsidRDefault="006963EC" w:rsidP="00B94090">
      <w:pPr>
        <w:pStyle w:val="CETBodytext"/>
        <w:spacing w:line="240" w:lineRule="auto"/>
        <w:rPr>
          <w:rFonts w:cs="Arial"/>
          <w:lang w:val="en-GB" w:eastAsia="de-DE" w:bidi="en-US"/>
        </w:rPr>
      </w:pPr>
      <w:r>
        <w:rPr>
          <w:rFonts w:cs="Arial"/>
          <w:lang w:val="en-GB" w:eastAsia="de-DE" w:bidi="en-US"/>
        </w:rPr>
        <w:t>T</w:t>
      </w:r>
      <w:r w:rsidR="001356F9">
        <w:rPr>
          <w:rFonts w:cs="Arial"/>
          <w:lang w:val="en-GB" w:eastAsia="de-DE" w:bidi="en-US"/>
        </w:rPr>
        <w:t>he CO and C</w:t>
      </w:r>
      <w:r w:rsidR="007F7CBE">
        <w:rPr>
          <w:rFonts w:cs="Arial"/>
          <w:lang w:val="en-GB" w:eastAsia="de-DE" w:bidi="en-US"/>
        </w:rPr>
        <w:t>O</w:t>
      </w:r>
      <w:r w:rsidR="001356F9" w:rsidRPr="007F7CBE">
        <w:rPr>
          <w:rFonts w:cs="Arial"/>
          <w:vertAlign w:val="subscript"/>
          <w:lang w:val="en-GB" w:eastAsia="de-DE" w:bidi="en-US"/>
        </w:rPr>
        <w:t>2</w:t>
      </w:r>
      <w:r w:rsidR="001356F9">
        <w:rPr>
          <w:rFonts w:cs="Arial"/>
          <w:lang w:val="en-GB" w:eastAsia="de-DE" w:bidi="en-US"/>
        </w:rPr>
        <w:t xml:space="preserve"> molar flow</w:t>
      </w:r>
      <w:r w:rsidR="00A6359E">
        <w:rPr>
          <w:rFonts w:cs="Arial"/>
          <w:lang w:val="en-GB" w:eastAsia="de-DE" w:bidi="en-US"/>
        </w:rPr>
        <w:t xml:space="preserve"> </w:t>
      </w:r>
      <w:r w:rsidR="001356F9">
        <w:rPr>
          <w:rFonts w:cs="Arial"/>
          <w:lang w:val="en-GB" w:eastAsia="de-DE" w:bidi="en-US"/>
        </w:rPr>
        <w:t>rates</w:t>
      </w:r>
      <w:r>
        <w:rPr>
          <w:rFonts w:cs="Arial"/>
          <w:lang w:val="en-GB" w:eastAsia="de-DE" w:bidi="en-US"/>
        </w:rPr>
        <w:t xml:space="preserve"> w</w:t>
      </w:r>
      <w:r w:rsidR="009F001D">
        <w:rPr>
          <w:rFonts w:cs="Arial"/>
          <w:lang w:val="en-GB" w:eastAsia="de-DE" w:bidi="en-US"/>
        </w:rPr>
        <w:t>ere</w:t>
      </w:r>
      <w:r>
        <w:rPr>
          <w:rFonts w:cs="Arial"/>
          <w:lang w:val="en-GB" w:eastAsia="de-DE" w:bidi="en-US"/>
        </w:rPr>
        <w:t xml:space="preserve"> calculated according to </w:t>
      </w:r>
      <w:r w:rsidR="007F7CBE">
        <w:rPr>
          <w:rFonts w:cs="Arial"/>
          <w:lang w:val="en-GB" w:eastAsia="de-DE" w:bidi="en-US"/>
        </w:rPr>
        <w:t>Equation (1):</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985"/>
      </w:tblGrid>
      <w:tr w:rsidR="006963EC" w14:paraId="5375FA85" w14:textId="77777777" w:rsidTr="00782052">
        <w:trPr>
          <w:trHeight w:val="737"/>
        </w:trPr>
        <w:tc>
          <w:tcPr>
            <w:tcW w:w="7792" w:type="dxa"/>
            <w:vAlign w:val="center"/>
          </w:tcPr>
          <w:p w14:paraId="2DF6F071" w14:textId="12508A46" w:rsidR="006963EC" w:rsidRPr="00782052" w:rsidRDefault="00D75D9D" w:rsidP="00782052">
            <w:pPr>
              <w:pStyle w:val="CETEquation"/>
            </w:pPr>
            <m:oMath>
              <m:sSub>
                <m:sSubPr>
                  <m:ctrlPr>
                    <w:rPr>
                      <w:rFonts w:ascii="Cambria Math" w:hAnsi="Cambria Math"/>
                      <w:lang w:bidi="en-US"/>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OUT</m:t>
                  </m:r>
                </m:sub>
              </m:sSub>
              <m:r>
                <m:rPr>
                  <m:sty m:val="p"/>
                </m:rPr>
                <w:rPr>
                  <w:rFonts w:ascii="Cambria Math" w:hAnsi="Cambria Math"/>
                </w:rPr>
                <m:t>=</m:t>
              </m:r>
              <m:sSub>
                <m:sSubPr>
                  <m:ctrlPr>
                    <w:rPr>
                      <w:rFonts w:ascii="Cambria Math" w:hAnsi="Cambria Math"/>
                      <w:lang w:bidi="en-US"/>
                    </w:rPr>
                  </m:ctrlPr>
                </m:sSubPr>
                <m:e>
                  <m:r>
                    <w:rPr>
                      <w:rFonts w:ascii="Cambria Math" w:hAnsi="Cambria Math"/>
                    </w:rPr>
                    <m:t>y</m:t>
                  </m:r>
                </m:e>
                <m:sub>
                  <m:r>
                    <w:rPr>
                      <w:rFonts w:ascii="Cambria Math" w:hAnsi="Cambria Math"/>
                    </w:rPr>
                    <m:t>i</m:t>
                  </m:r>
                  <m:r>
                    <m:rPr>
                      <m:sty m:val="p"/>
                    </m:rPr>
                    <w:rPr>
                      <w:rFonts w:ascii="Cambria Math" w:hAnsi="Cambria Math"/>
                    </w:rPr>
                    <m:t>,</m:t>
                  </m:r>
                  <m:r>
                    <w:rPr>
                      <w:rFonts w:ascii="Cambria Math" w:hAnsi="Cambria Math"/>
                    </w:rPr>
                    <m:t>OUT</m:t>
                  </m:r>
                </m:sub>
              </m:sSub>
              <m:r>
                <m:rPr>
                  <m:sty m:val="p"/>
                </m:rPr>
                <w:rPr>
                  <w:rFonts w:ascii="Cambria Math" w:hAnsi="Cambria Math"/>
                </w:rPr>
                <m:t>∙</m:t>
              </m:r>
              <m:sSub>
                <m:sSubPr>
                  <m:ctrlPr>
                    <w:rPr>
                      <w:rFonts w:ascii="Cambria Math" w:hAnsi="Cambria Math"/>
                      <w:lang w:bidi="en-US"/>
                    </w:rPr>
                  </m:ctrlPr>
                </m:sSubPr>
                <m:e>
                  <m:r>
                    <w:rPr>
                      <w:rFonts w:ascii="Cambria Math" w:hAnsi="Cambria Math"/>
                    </w:rPr>
                    <m:t>F</m:t>
                  </m:r>
                </m:e>
                <m:sub>
                  <m:r>
                    <w:rPr>
                      <w:rFonts w:ascii="Cambria Math" w:hAnsi="Cambria Math"/>
                    </w:rPr>
                    <m:t>tot</m:t>
                  </m:r>
                  <m:r>
                    <m:rPr>
                      <m:sty m:val="p"/>
                    </m:rPr>
                    <w:rPr>
                      <w:rFonts w:ascii="Cambria Math" w:hAnsi="Cambria Math"/>
                    </w:rPr>
                    <m:t>,</m:t>
                  </m:r>
                  <m:r>
                    <w:rPr>
                      <w:rFonts w:ascii="Cambria Math" w:hAnsi="Cambria Math"/>
                    </w:rPr>
                    <m:t>OUT</m:t>
                  </m:r>
                </m:sub>
              </m:sSub>
            </m:oMath>
            <w:r w:rsidR="00B94090" w:rsidRPr="00782052">
              <w:t xml:space="preserve">                 </w:t>
            </w:r>
            <m:oMath>
              <m:r>
                <w:rPr>
                  <w:rFonts w:ascii="Cambria Math" w:hAnsi="Cambria Math"/>
                </w:rPr>
                <m:t>i</m:t>
              </m:r>
              <m:r>
                <m:rPr>
                  <m:sty m:val="p"/>
                </m:rPr>
                <w:rPr>
                  <w:rFonts w:ascii="Cambria Math" w:hAnsi="Cambria Math"/>
                </w:rPr>
                <m:t>=</m:t>
              </m:r>
              <m:r>
                <w:rPr>
                  <w:rFonts w:ascii="Cambria Math" w:hAnsi="Cambria Math"/>
                </w:rPr>
                <m:t>CO</m:t>
              </m:r>
              <m:r>
                <m:rPr>
                  <m:sty m:val="p"/>
                </m:rPr>
                <w:rPr>
                  <w:rFonts w:ascii="Cambria Math" w:hAnsi="Cambria Math"/>
                </w:rPr>
                <m:t>,</m:t>
              </m:r>
              <m:sSub>
                <m:sSubPr>
                  <m:ctrlPr>
                    <w:rPr>
                      <w:rFonts w:ascii="Cambria Math" w:hAnsi="Cambria Math"/>
                      <w:lang w:bidi="en-US"/>
                    </w:rPr>
                  </m:ctrlPr>
                </m:sSubPr>
                <m:e>
                  <m:r>
                    <w:rPr>
                      <w:rFonts w:ascii="Cambria Math" w:hAnsi="Cambria Math"/>
                    </w:rPr>
                    <m:t>CO</m:t>
                  </m:r>
                </m:e>
                <m:sub>
                  <m:r>
                    <m:rPr>
                      <m:sty m:val="p"/>
                    </m:rPr>
                    <w:rPr>
                      <w:rFonts w:ascii="Cambria Math" w:hAnsi="Cambria Math"/>
                    </w:rPr>
                    <m:t>2</m:t>
                  </m:r>
                </m:sub>
              </m:sSub>
            </m:oMath>
          </w:p>
        </w:tc>
        <w:tc>
          <w:tcPr>
            <w:tcW w:w="985" w:type="dxa"/>
            <w:vAlign w:val="center"/>
          </w:tcPr>
          <w:p w14:paraId="7572E2DC" w14:textId="537BFD62" w:rsidR="006963EC" w:rsidRDefault="006963EC" w:rsidP="00B94090">
            <w:pPr>
              <w:pStyle w:val="CETBodytext"/>
              <w:spacing w:line="240" w:lineRule="auto"/>
              <w:jc w:val="left"/>
              <w:rPr>
                <w:rFonts w:cs="Arial"/>
                <w:lang w:val="en-GB" w:eastAsia="de-DE" w:bidi="en-US"/>
              </w:rPr>
            </w:pPr>
            <w:r>
              <w:rPr>
                <w:rFonts w:cs="Arial"/>
                <w:lang w:val="en-GB" w:eastAsia="de-DE" w:bidi="en-US"/>
              </w:rPr>
              <w:t>Eq. (1)</w:t>
            </w:r>
          </w:p>
        </w:tc>
      </w:tr>
    </w:tbl>
    <w:p w14:paraId="04610730" w14:textId="485E1BB5" w:rsidR="001356F9" w:rsidRDefault="00B94090" w:rsidP="00B94090">
      <w:pPr>
        <w:pStyle w:val="CETBodytext"/>
        <w:spacing w:line="240" w:lineRule="auto"/>
        <w:rPr>
          <w:rFonts w:cs="Arial"/>
          <w:lang w:val="en-GB" w:eastAsia="de-DE" w:bidi="en-US"/>
        </w:rPr>
      </w:pPr>
      <w:r>
        <w:rPr>
          <w:rFonts w:cs="Arial"/>
          <w:lang w:val="en-GB" w:eastAsia="de-DE" w:bidi="en-US"/>
        </w:rPr>
        <w:t>Knowing the gas species flow rate the tar conversion was calculated according to Equation 2:</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985"/>
      </w:tblGrid>
      <w:tr w:rsidR="00782052" w14:paraId="6989DC07" w14:textId="77777777" w:rsidTr="00782052">
        <w:trPr>
          <w:trHeight w:val="737"/>
        </w:trPr>
        <w:tc>
          <w:tcPr>
            <w:tcW w:w="7792" w:type="dxa"/>
            <w:vAlign w:val="center"/>
          </w:tcPr>
          <w:p w14:paraId="53C9D8B7" w14:textId="4E8571B6" w:rsidR="00782052" w:rsidRPr="00782052" w:rsidRDefault="00D75D9D" w:rsidP="00782052">
            <w:pPr>
              <w:pStyle w:val="CETEquation"/>
              <w:jc w:val="both"/>
            </w:pPr>
            <m:oMath>
              <m:sSub>
                <m:sSubPr>
                  <m:ctrlPr>
                    <w:rPr>
                      <w:rFonts w:ascii="Cambria Math" w:hAnsi="Cambria Math"/>
                      <w:lang w:bidi="en-US"/>
                    </w:rPr>
                  </m:ctrlPr>
                </m:sSubPr>
                <m:e>
                  <m:r>
                    <w:rPr>
                      <w:rFonts w:ascii="Cambria Math" w:hAnsi="Cambria Math"/>
                    </w:rPr>
                    <m:t>X</m:t>
                  </m:r>
                </m:e>
                <m:sub>
                  <m:r>
                    <w:rPr>
                      <w:rFonts w:ascii="Cambria Math" w:hAnsi="Cambria Math"/>
                    </w:rPr>
                    <m:t>C</m:t>
                  </m:r>
                  <m:r>
                    <m:rPr>
                      <m:sty m:val="p"/>
                    </m:rPr>
                    <w:rPr>
                      <w:rFonts w:ascii="Cambria Math" w:hAnsi="Cambria Math"/>
                    </w:rPr>
                    <m:t>,</m:t>
                  </m:r>
                  <m:r>
                    <w:rPr>
                      <w:rFonts w:ascii="Cambria Math" w:hAnsi="Cambria Math"/>
                    </w:rPr>
                    <m:t>out</m:t>
                  </m:r>
                </m:sub>
              </m:sSub>
              <m:r>
                <m:rPr>
                  <m:sty m:val="p"/>
                </m:rPr>
                <w:rPr>
                  <w:rFonts w:ascii="Cambria Math" w:hAnsi="Cambria Math"/>
                </w:rPr>
                <m:t>=</m:t>
              </m:r>
              <m:f>
                <m:fPr>
                  <m:ctrlPr>
                    <w:rPr>
                      <w:rFonts w:ascii="Cambria Math" w:hAnsi="Cambria Math"/>
                      <w:lang w:bidi="en-US"/>
                    </w:rPr>
                  </m:ctrlPr>
                </m:fPr>
                <m:num>
                  <m:nary>
                    <m:naryPr>
                      <m:limLoc m:val="subSup"/>
                      <m:ctrlPr>
                        <w:rPr>
                          <w:rFonts w:ascii="Cambria Math" w:hAnsi="Cambria Math"/>
                          <w:lang w:bidi="en-US"/>
                        </w:rPr>
                      </m:ctrlPr>
                    </m:naryPr>
                    <m:sub>
                      <m:r>
                        <w:rPr>
                          <w:rFonts w:ascii="Cambria Math" w:hAnsi="Cambria Math"/>
                        </w:rPr>
                        <m:t>t</m:t>
                      </m:r>
                    </m:sub>
                    <m:sup/>
                    <m:e>
                      <m:d>
                        <m:dPr>
                          <m:ctrlPr>
                            <w:rPr>
                              <w:rFonts w:ascii="Cambria Math" w:hAnsi="Cambria Math"/>
                              <w:lang w:bidi="en-US"/>
                            </w:rPr>
                          </m:ctrlPr>
                        </m:dPr>
                        <m:e>
                          <m:sSub>
                            <m:sSubPr>
                              <m:ctrlPr>
                                <w:rPr>
                                  <w:rFonts w:ascii="Cambria Math" w:hAnsi="Cambria Math"/>
                                  <w:lang w:bidi="en-US"/>
                                </w:rPr>
                              </m:ctrlPr>
                            </m:sSubPr>
                            <m:e>
                              <m:r>
                                <w:rPr>
                                  <w:rFonts w:ascii="Cambria Math" w:hAnsi="Cambria Math"/>
                                </w:rPr>
                                <m:t>F</m:t>
                              </m:r>
                            </m:e>
                            <m:sub>
                              <m:r>
                                <w:rPr>
                                  <w:rFonts w:ascii="Cambria Math" w:hAnsi="Cambria Math"/>
                                </w:rPr>
                                <m:t>CO</m:t>
                              </m:r>
                              <m:r>
                                <m:rPr>
                                  <m:sty m:val="p"/>
                                </m:rPr>
                                <w:rPr>
                                  <w:rFonts w:ascii="Cambria Math" w:hAnsi="Cambria Math"/>
                                </w:rPr>
                                <m:t>,</m:t>
                              </m:r>
                              <m:r>
                                <w:rPr>
                                  <w:rFonts w:ascii="Cambria Math" w:hAnsi="Cambria Math"/>
                                </w:rPr>
                                <m:t>OUT</m:t>
                              </m:r>
                            </m:sub>
                          </m:sSub>
                          <m:r>
                            <m:rPr>
                              <m:sty m:val="p"/>
                            </m:rPr>
                            <w:rPr>
                              <w:rFonts w:ascii="Cambria Math" w:hAnsi="Cambria Math"/>
                            </w:rPr>
                            <m:t>+</m:t>
                          </m:r>
                          <m:sSub>
                            <m:sSubPr>
                              <m:ctrlPr>
                                <w:rPr>
                                  <w:rFonts w:ascii="Cambria Math" w:hAnsi="Cambria Math"/>
                                  <w:lang w:bidi="en-US"/>
                                </w:rPr>
                              </m:ctrlPr>
                            </m:sSubPr>
                            <m:e>
                              <m:r>
                                <w:rPr>
                                  <w:rFonts w:ascii="Cambria Math" w:hAnsi="Cambria Math"/>
                                </w:rPr>
                                <m:t>F</m:t>
                              </m:r>
                            </m:e>
                            <m:sub>
                              <m:sSub>
                                <m:sSubPr>
                                  <m:ctrlPr>
                                    <w:rPr>
                                      <w:rFonts w:ascii="Cambria Math" w:hAnsi="Cambria Math"/>
                                      <w:lang w:bidi="en-US"/>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OUT</m:t>
                              </m:r>
                            </m:sub>
                          </m:sSub>
                        </m:e>
                      </m:d>
                      <m:r>
                        <m:rPr>
                          <m:sty m:val="p"/>
                        </m:rPr>
                        <w:rPr>
                          <w:rFonts w:ascii="Cambria Math" w:hAnsi="Cambria Math"/>
                        </w:rPr>
                        <m:t xml:space="preserve"> </m:t>
                      </m:r>
                      <m:r>
                        <w:rPr>
                          <w:rFonts w:ascii="Cambria Math" w:hAnsi="Cambria Math"/>
                        </w:rPr>
                        <m:t>dt</m:t>
                      </m:r>
                    </m:e>
                  </m:nary>
                </m:num>
                <m:den>
                  <m:nary>
                    <m:naryPr>
                      <m:limLoc m:val="subSup"/>
                      <m:ctrlPr>
                        <w:rPr>
                          <w:rFonts w:ascii="Cambria Math" w:hAnsi="Cambria Math"/>
                          <w:lang w:bidi="en-US"/>
                        </w:rPr>
                      </m:ctrlPr>
                    </m:naryPr>
                    <m:sub>
                      <m:r>
                        <w:rPr>
                          <w:rFonts w:ascii="Cambria Math" w:hAnsi="Cambria Math"/>
                        </w:rPr>
                        <m:t>t</m:t>
                      </m:r>
                    </m:sub>
                    <m:sup/>
                    <m:e>
                      <m:sSub>
                        <m:sSubPr>
                          <m:ctrlPr>
                            <w:rPr>
                              <w:rFonts w:ascii="Cambria Math" w:hAnsi="Cambria Math"/>
                              <w:lang w:bidi="en-US"/>
                            </w:rPr>
                          </m:ctrlPr>
                        </m:sSubPr>
                        <m:e>
                          <m:r>
                            <w:rPr>
                              <w:rFonts w:ascii="Cambria Math" w:hAnsi="Cambria Math"/>
                            </w:rPr>
                            <m:t>F</m:t>
                          </m:r>
                        </m:e>
                        <m:sub>
                          <m:sSub>
                            <m:sSubPr>
                              <m:ctrlPr>
                                <w:rPr>
                                  <w:rFonts w:ascii="Cambria Math" w:hAnsi="Cambria Math"/>
                                  <w:lang w:bidi="en-US"/>
                                </w:rPr>
                              </m:ctrlPr>
                            </m:sSubPr>
                            <m:e>
                              <m:r>
                                <w:rPr>
                                  <w:rFonts w:ascii="Cambria Math" w:hAnsi="Cambria Math"/>
                                </w:rPr>
                                <m:t>C</m:t>
                              </m:r>
                            </m:e>
                            <m:sub>
                              <m:r>
                                <w:rPr>
                                  <w:rFonts w:ascii="Cambria Math" w:hAnsi="Cambria Math"/>
                                </w:rPr>
                                <m:t>tar</m:t>
                              </m:r>
                            </m:sub>
                          </m:sSub>
                          <m:r>
                            <m:rPr>
                              <m:sty m:val="p"/>
                            </m:rPr>
                            <w:rPr>
                              <w:rFonts w:ascii="Cambria Math" w:hAnsi="Cambria Math"/>
                            </w:rPr>
                            <m:t>,</m:t>
                          </m:r>
                          <m:r>
                            <w:rPr>
                              <w:rFonts w:ascii="Cambria Math" w:hAnsi="Cambria Math"/>
                            </w:rPr>
                            <m:t>IN</m:t>
                          </m:r>
                        </m:sub>
                      </m:sSub>
                      <m:r>
                        <m:rPr>
                          <m:sty m:val="p"/>
                        </m:rPr>
                        <w:rPr>
                          <w:rFonts w:ascii="Cambria Math" w:hAnsi="Cambria Math"/>
                        </w:rPr>
                        <m:t xml:space="preserve"> </m:t>
                      </m:r>
                      <m:r>
                        <w:rPr>
                          <w:rFonts w:ascii="Cambria Math" w:hAnsi="Cambria Math"/>
                        </w:rPr>
                        <m:t>dt</m:t>
                      </m:r>
                    </m:e>
                  </m:nary>
                </m:den>
              </m:f>
            </m:oMath>
            <w:r w:rsidR="00782052">
              <w:rPr>
                <w:lang w:bidi="en-US"/>
              </w:rPr>
              <w:t xml:space="preserve"> </w:t>
            </w:r>
          </w:p>
        </w:tc>
        <w:tc>
          <w:tcPr>
            <w:tcW w:w="985" w:type="dxa"/>
            <w:vAlign w:val="center"/>
          </w:tcPr>
          <w:p w14:paraId="018BC178" w14:textId="63F6080C" w:rsidR="00782052" w:rsidRDefault="00782052" w:rsidP="002900CC">
            <w:pPr>
              <w:pStyle w:val="CETBodytext"/>
              <w:spacing w:line="240" w:lineRule="auto"/>
              <w:jc w:val="left"/>
              <w:rPr>
                <w:rFonts w:cs="Arial"/>
                <w:lang w:val="en-GB" w:eastAsia="de-DE" w:bidi="en-US"/>
              </w:rPr>
            </w:pPr>
            <w:r>
              <w:rPr>
                <w:rFonts w:cs="Arial"/>
                <w:lang w:val="en-GB" w:eastAsia="de-DE" w:bidi="en-US"/>
              </w:rPr>
              <w:t>Eq. (2)</w:t>
            </w:r>
          </w:p>
        </w:tc>
      </w:tr>
    </w:tbl>
    <w:p w14:paraId="1DC64972" w14:textId="64461465" w:rsidR="00B94090" w:rsidRDefault="00B94090" w:rsidP="00B94090">
      <w:pPr>
        <w:pStyle w:val="CETBodytext"/>
        <w:spacing w:line="240" w:lineRule="auto"/>
        <w:rPr>
          <w:rFonts w:cs="Arial"/>
          <w:lang w:val="en-GB" w:eastAsia="de-DE" w:bidi="en-US"/>
        </w:rPr>
      </w:pPr>
      <w:r>
        <w:rPr>
          <w:rFonts w:cs="Arial"/>
          <w:lang w:val="en-GB" w:eastAsia="de-DE" w:bidi="en-US"/>
        </w:rPr>
        <w:t xml:space="preserve">Where, </w:t>
      </w:r>
      <m:oMath>
        <m:sSub>
          <m:sSubPr>
            <m:ctrlPr>
              <w:rPr>
                <w:rFonts w:ascii="Cambria Math" w:hAnsi="Cambria Math" w:cs="Arial"/>
                <w:i/>
                <w:lang w:val="en-GB" w:eastAsia="de-DE" w:bidi="en-US"/>
              </w:rPr>
            </m:ctrlPr>
          </m:sSubPr>
          <m:e>
            <m:r>
              <w:rPr>
                <w:rFonts w:ascii="Cambria Math" w:hAnsi="Cambria Math" w:cs="Arial"/>
                <w:lang w:val="en-GB" w:eastAsia="de-DE" w:bidi="en-US"/>
              </w:rPr>
              <m:t>F</m:t>
            </m:r>
          </m:e>
          <m:sub>
            <m:sSub>
              <m:sSubPr>
                <m:ctrlPr>
                  <w:rPr>
                    <w:rFonts w:ascii="Cambria Math" w:hAnsi="Cambria Math" w:cs="Arial"/>
                    <w:i/>
                    <w:lang w:val="en-GB" w:eastAsia="de-DE" w:bidi="en-US"/>
                  </w:rPr>
                </m:ctrlPr>
              </m:sSubPr>
              <m:e>
                <m:r>
                  <w:rPr>
                    <w:rFonts w:ascii="Cambria Math" w:hAnsi="Cambria Math" w:cs="Arial"/>
                    <w:lang w:val="en-GB" w:eastAsia="de-DE" w:bidi="en-US"/>
                  </w:rPr>
                  <m:t>C</m:t>
                </m:r>
              </m:e>
              <m:sub>
                <m:r>
                  <w:rPr>
                    <w:rFonts w:ascii="Cambria Math" w:hAnsi="Cambria Math" w:cs="Arial"/>
                    <w:lang w:val="en-GB" w:eastAsia="de-DE" w:bidi="en-US"/>
                  </w:rPr>
                  <m:t>tar</m:t>
                </m:r>
              </m:sub>
            </m:sSub>
            <m:r>
              <w:rPr>
                <w:rFonts w:ascii="Cambria Math" w:hAnsi="Cambria Math" w:cs="Arial"/>
                <w:lang w:val="en-GB" w:eastAsia="de-DE" w:bidi="en-US"/>
              </w:rPr>
              <m:t>,IN</m:t>
            </m:r>
          </m:sub>
        </m:sSub>
      </m:oMath>
      <w:r>
        <w:rPr>
          <w:rFonts w:cs="Arial"/>
          <w:lang w:val="en-GB" w:eastAsia="de-DE" w:bidi="en-US"/>
        </w:rPr>
        <w:t xml:space="preserve"> is the molar flow rate of carbon entering in</w:t>
      </w:r>
      <w:r w:rsidR="00A6359E">
        <w:rPr>
          <w:rFonts w:cs="Arial"/>
          <w:lang w:val="en-GB" w:eastAsia="de-DE" w:bidi="en-US"/>
        </w:rPr>
        <w:t>to</w:t>
      </w:r>
      <w:r>
        <w:rPr>
          <w:rFonts w:cs="Arial"/>
          <w:lang w:val="en-GB" w:eastAsia="de-DE" w:bidi="en-US"/>
        </w:rPr>
        <w:t xml:space="preserve"> the system with tar. </w:t>
      </w:r>
    </w:p>
    <w:p w14:paraId="207677E5" w14:textId="35774193" w:rsidR="0025403B" w:rsidRDefault="00EF606D" w:rsidP="006D4063">
      <w:pPr>
        <w:pStyle w:val="CETBodytext"/>
      </w:pPr>
      <w:r w:rsidRPr="006D4063">
        <w:t xml:space="preserve">Each tests lasted long enough to </w:t>
      </w:r>
      <w:r w:rsidR="0025403B" w:rsidRPr="006D4063">
        <w:t>reach a steady state</w:t>
      </w:r>
      <w:r w:rsidR="00A6359E">
        <w:t xml:space="preserve"> and</w:t>
      </w:r>
      <w:r w:rsidR="0025403B" w:rsidRPr="006D4063">
        <w:t xml:space="preserve"> to observe a stable</w:t>
      </w:r>
      <w:r w:rsidRPr="006D4063">
        <w:t xml:space="preserve"> </w:t>
      </w:r>
      <w:r w:rsidR="0025403B" w:rsidRPr="006D4063">
        <w:t>products formation. The conversion was calculated from the data when the steady state was reached (</w:t>
      </w:r>
      <w:r w:rsidR="0025403B" w:rsidRPr="006D4063">
        <w:fldChar w:fldCharType="begin"/>
      </w:r>
      <w:r w:rsidR="0025403B" w:rsidRPr="006D4063">
        <w:instrText xml:space="preserve"> REF _Ref153877926 \h </w:instrText>
      </w:r>
      <w:r w:rsidR="006D4063" w:rsidRPr="006D4063">
        <w:instrText xml:space="preserve"> \* MERGEFORMAT </w:instrText>
      </w:r>
      <w:r w:rsidR="0025403B" w:rsidRPr="006D4063">
        <w:fldChar w:fldCharType="separate"/>
      </w:r>
      <w:r w:rsidR="0025403B" w:rsidRPr="006D4063">
        <w:t>Figure 2</w:t>
      </w:r>
      <w:r w:rsidR="0025403B" w:rsidRPr="006D4063">
        <w:fldChar w:fldCharType="end"/>
      </w:r>
      <w:r w:rsidR="0025403B" w:rsidRPr="006D4063">
        <w:t>).</w:t>
      </w:r>
    </w:p>
    <w:p w14:paraId="17CCD86F" w14:textId="77777777" w:rsidR="006D4063" w:rsidRPr="006D4063" w:rsidRDefault="006D4063" w:rsidP="006D4063">
      <w:pPr>
        <w:pStyle w:val="CETBodytext"/>
      </w:pPr>
    </w:p>
    <w:p w14:paraId="7C92040F" w14:textId="2F6F613D" w:rsidR="0025403B" w:rsidRDefault="0025403B" w:rsidP="0025403B">
      <w:pPr>
        <w:pStyle w:val="CETBodytext"/>
        <w:keepNext/>
        <w:spacing w:line="360" w:lineRule="auto"/>
        <w:jc w:val="left"/>
      </w:pPr>
      <w:r>
        <w:rPr>
          <w:rFonts w:cs="Arial"/>
          <w:noProof/>
          <w:lang w:val="en-GB" w:eastAsia="de-DE" w:bidi="en-US"/>
        </w:rPr>
        <w:drawing>
          <wp:inline distT="0" distB="0" distL="0" distR="0" wp14:anchorId="018AC565" wp14:editId="734238CD">
            <wp:extent cx="4424705" cy="2949179"/>
            <wp:effectExtent l="0" t="0" r="0" b="3810"/>
            <wp:docPr id="17884599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9936" name="Immagin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24705" cy="2949179"/>
                    </a:xfrm>
                    <a:prstGeom prst="rect">
                      <a:avLst/>
                    </a:prstGeom>
                  </pic:spPr>
                </pic:pic>
              </a:graphicData>
            </a:graphic>
          </wp:inline>
        </w:drawing>
      </w:r>
    </w:p>
    <w:p w14:paraId="0CA72DD2" w14:textId="50C36DB6" w:rsidR="0025403B" w:rsidRDefault="0025403B" w:rsidP="0025403B">
      <w:pPr>
        <w:pStyle w:val="CETCaption"/>
      </w:pPr>
      <w:r>
        <w:t xml:space="preserve">Figure </w:t>
      </w:r>
      <w:r>
        <w:fldChar w:fldCharType="begin"/>
      </w:r>
      <w:r>
        <w:instrText xml:space="preserve"> SEQ Figure \* ARABIC </w:instrText>
      </w:r>
      <w:r>
        <w:fldChar w:fldCharType="separate"/>
      </w:r>
      <w:r>
        <w:rPr>
          <w:noProof/>
        </w:rPr>
        <w:t>2</w:t>
      </w:r>
      <w:r>
        <w:fldChar w:fldCharType="end"/>
      </w:r>
      <w:r>
        <w:t>: CO</w:t>
      </w:r>
      <w:r w:rsidRPr="00F66BAC">
        <w:rPr>
          <w:vertAlign w:val="subscript"/>
        </w:rPr>
        <w:t>2</w:t>
      </w:r>
      <w:r>
        <w:t xml:space="preserve"> content </w:t>
      </w:r>
      <w:r w:rsidR="002164BD">
        <w:t xml:space="preserve">in the outlet stream </w:t>
      </w:r>
      <w:r>
        <w:t>during the test</w:t>
      </w:r>
      <w:r w:rsidR="0032139F">
        <w:t>.</w:t>
      </w:r>
    </w:p>
    <w:p w14:paraId="23EBFD69" w14:textId="77777777" w:rsidR="000013D7" w:rsidRDefault="000013D7" w:rsidP="000013D7">
      <w:pPr>
        <w:pStyle w:val="CETBodytext"/>
        <w:spacing w:line="240" w:lineRule="auto"/>
        <w:rPr>
          <w:rFonts w:cs="Arial"/>
          <w:lang w:val="en-GB" w:eastAsia="de-DE" w:bidi="en-US"/>
        </w:rPr>
      </w:pPr>
      <w:r>
        <w:rPr>
          <w:rFonts w:cs="Arial"/>
          <w:lang w:val="en-GB" w:eastAsia="de-DE" w:bidi="en-US"/>
        </w:rPr>
        <w:t xml:space="preserve">Table 1 and 2 summarize the </w:t>
      </w:r>
      <w:r w:rsidRPr="00B60AE0">
        <w:rPr>
          <w:rFonts w:cs="Arial"/>
          <w:lang w:val="en-GB" w:eastAsia="de-DE" w:bidi="en-US"/>
        </w:rPr>
        <w:t xml:space="preserve">operating conditions </w:t>
      </w:r>
      <w:r>
        <w:rPr>
          <w:rFonts w:cs="Arial"/>
          <w:lang w:val="en-GB" w:eastAsia="de-DE" w:bidi="en-US"/>
        </w:rPr>
        <w:t xml:space="preserve">used for the first and second campaign of tests performed on the two catalysts. </w:t>
      </w:r>
    </w:p>
    <w:p w14:paraId="2F657864" w14:textId="77777777" w:rsidR="000013D7" w:rsidRDefault="000013D7" w:rsidP="000013D7">
      <w:pPr>
        <w:pStyle w:val="CETBodytext"/>
        <w:spacing w:line="240" w:lineRule="auto"/>
        <w:rPr>
          <w:rFonts w:cs="Arial"/>
          <w:lang w:val="en-GB" w:eastAsia="de-DE" w:bidi="en-US"/>
        </w:rPr>
      </w:pPr>
      <w:r>
        <w:rPr>
          <w:rFonts w:cs="Arial"/>
          <w:lang w:val="en-GB" w:eastAsia="de-DE" w:bidi="en-US"/>
        </w:rPr>
        <w:t>In particular, the test conditions of the first campaign are the same for both catalysts, changing the temperature from 700 to 850 °C, H</w:t>
      </w:r>
      <w:r w:rsidRPr="00D86137">
        <w:rPr>
          <w:rFonts w:cs="Arial"/>
          <w:vertAlign w:val="subscript"/>
          <w:lang w:val="en-GB" w:eastAsia="de-DE" w:bidi="en-US"/>
        </w:rPr>
        <w:t>2</w:t>
      </w:r>
      <w:r>
        <w:rPr>
          <w:rFonts w:cs="Arial"/>
          <w:lang w:val="en-GB" w:eastAsia="de-DE" w:bidi="en-US"/>
        </w:rPr>
        <w:t xml:space="preserve">S concentration of 50 </w:t>
      </w:r>
      <w:proofErr w:type="spellStart"/>
      <w:r>
        <w:rPr>
          <w:rFonts w:cs="Arial"/>
          <w:lang w:val="en-GB" w:eastAsia="de-DE" w:bidi="en-US"/>
        </w:rPr>
        <w:t>ppmv</w:t>
      </w:r>
      <w:proofErr w:type="spellEnd"/>
      <w:r>
        <w:rPr>
          <w:rFonts w:cs="Arial"/>
          <w:lang w:val="en-GB" w:eastAsia="de-DE" w:bidi="en-US"/>
        </w:rPr>
        <w:t xml:space="preserve"> and with a GHSV of 6000 h</w:t>
      </w:r>
      <w:r w:rsidRPr="00D86137">
        <w:rPr>
          <w:rFonts w:cs="Arial"/>
          <w:vertAlign w:val="superscript"/>
          <w:lang w:val="en-GB" w:eastAsia="de-DE" w:bidi="en-US"/>
        </w:rPr>
        <w:t>-1</w:t>
      </w:r>
      <w:r>
        <w:rPr>
          <w:rFonts w:cs="Arial"/>
          <w:lang w:val="en-GB" w:eastAsia="de-DE" w:bidi="en-US"/>
        </w:rPr>
        <w:t xml:space="preserve">. </w:t>
      </w:r>
    </w:p>
    <w:p w14:paraId="62C86699" w14:textId="77777777" w:rsidR="000013D7" w:rsidRDefault="000013D7" w:rsidP="000013D7">
      <w:pPr>
        <w:pStyle w:val="CETBodytext"/>
        <w:spacing w:line="240" w:lineRule="auto"/>
        <w:rPr>
          <w:rFonts w:cs="Arial"/>
          <w:lang w:val="en-GB" w:eastAsia="de-DE" w:bidi="en-US"/>
        </w:rPr>
      </w:pPr>
      <w:r>
        <w:rPr>
          <w:rFonts w:cs="Arial"/>
          <w:lang w:val="en-GB" w:eastAsia="de-DE" w:bidi="en-US"/>
        </w:rPr>
        <w:t>The GHSV value was calculated according to Equation 3:</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985"/>
      </w:tblGrid>
      <w:tr w:rsidR="000013D7" w14:paraId="5E7E55F6" w14:textId="77777777" w:rsidTr="005C7F56">
        <w:trPr>
          <w:trHeight w:val="737"/>
        </w:trPr>
        <w:tc>
          <w:tcPr>
            <w:tcW w:w="7792" w:type="dxa"/>
            <w:vAlign w:val="center"/>
          </w:tcPr>
          <w:p w14:paraId="3D14E65B" w14:textId="77777777" w:rsidR="000013D7" w:rsidRPr="00782052" w:rsidRDefault="000013D7" w:rsidP="005C7F56">
            <w:pPr>
              <w:pStyle w:val="CETEquation"/>
              <w:jc w:val="both"/>
            </w:pPr>
            <m:oMath>
              <m:r>
                <w:rPr>
                  <w:rFonts w:ascii="Cambria Math" w:hAnsi="Cambria Math"/>
                  <w:lang w:bidi="en-US"/>
                </w:rPr>
                <m:t>GHSV</m:t>
              </m:r>
              <m:r>
                <m:rPr>
                  <m:sty m:val="p"/>
                </m:rPr>
                <w:rPr>
                  <w:rFonts w:ascii="Cambria Math" w:hAnsi="Cambria Math"/>
                </w:rPr>
                <m:t>=</m:t>
              </m:r>
              <m:f>
                <m:fPr>
                  <m:ctrlPr>
                    <w:rPr>
                      <w:rFonts w:ascii="Cambria Math" w:hAnsi="Cambria Math"/>
                      <w:lang w:bidi="en-US"/>
                    </w:rPr>
                  </m:ctrlPr>
                </m:fPr>
                <m:num>
                  <m:nary>
                    <m:naryPr>
                      <m:chr m:val="∑"/>
                      <m:limLoc m:val="undOvr"/>
                      <m:subHide m:val="1"/>
                      <m:supHide m:val="1"/>
                      <m:ctrlPr>
                        <w:rPr>
                          <w:rFonts w:ascii="Cambria Math" w:hAnsi="Cambria Math"/>
                          <w:i/>
                          <w:lang w:bidi="en-US"/>
                        </w:rPr>
                      </m:ctrlPr>
                    </m:naryPr>
                    <m:sub/>
                    <m:sup/>
                    <m:e>
                      <m:sSub>
                        <m:sSubPr>
                          <m:ctrlPr>
                            <w:rPr>
                              <w:rFonts w:ascii="Cambria Math" w:hAnsi="Cambria Math"/>
                              <w:i/>
                              <w:lang w:bidi="en-US"/>
                            </w:rPr>
                          </m:ctrlPr>
                        </m:sSubPr>
                        <m:e>
                          <m:acc>
                            <m:accPr>
                              <m:chr m:val="̇"/>
                              <m:ctrlPr>
                                <w:rPr>
                                  <w:rFonts w:ascii="Cambria Math" w:hAnsi="Cambria Math"/>
                                  <w:i/>
                                  <w:lang w:bidi="en-US"/>
                                </w:rPr>
                              </m:ctrlPr>
                            </m:accPr>
                            <m:e>
                              <m:r>
                                <w:rPr>
                                  <w:rFonts w:ascii="Cambria Math" w:hAnsi="Cambria Math"/>
                                  <w:lang w:bidi="en-US"/>
                                </w:rPr>
                                <m:t>Q</m:t>
                              </m:r>
                            </m:e>
                          </m:acc>
                        </m:e>
                        <m:sub>
                          <m:r>
                            <w:rPr>
                              <w:rFonts w:ascii="Cambria Math" w:hAnsi="Cambria Math"/>
                              <w:lang w:bidi="en-US"/>
                            </w:rPr>
                            <m:t>i</m:t>
                          </m:r>
                        </m:sub>
                      </m:sSub>
                    </m:e>
                  </m:nary>
                </m:num>
                <m:den>
                  <m:sSub>
                    <m:sSubPr>
                      <m:ctrlPr>
                        <w:rPr>
                          <w:rFonts w:ascii="Cambria Math" w:hAnsi="Cambria Math"/>
                          <w:i/>
                          <w:lang w:bidi="en-US"/>
                        </w:rPr>
                      </m:ctrlPr>
                    </m:sSubPr>
                    <m:e>
                      <m:r>
                        <w:rPr>
                          <w:rFonts w:ascii="Cambria Math" w:hAnsi="Cambria Math"/>
                          <w:lang w:bidi="en-US"/>
                        </w:rPr>
                        <m:t>V</m:t>
                      </m:r>
                    </m:e>
                    <m:sub>
                      <m:r>
                        <w:rPr>
                          <w:rFonts w:ascii="Cambria Math" w:hAnsi="Cambria Math"/>
                          <w:lang w:bidi="en-US"/>
                        </w:rPr>
                        <m:t>bed</m:t>
                      </m:r>
                    </m:sub>
                  </m:sSub>
                </m:den>
              </m:f>
            </m:oMath>
            <w:r>
              <w:rPr>
                <w:lang w:bidi="en-US"/>
              </w:rPr>
              <w:t xml:space="preserve">                                </w:t>
            </w:r>
            <m:oMath>
              <m:r>
                <w:rPr>
                  <w:rFonts w:ascii="Cambria Math" w:hAnsi="Cambria Math"/>
                </w:rPr>
                <m:t>i</m:t>
              </m:r>
              <m:r>
                <m:rPr>
                  <m:sty m:val="p"/>
                </m:rPr>
                <w:rPr>
                  <w:rFonts w:ascii="Cambria Math" w:hAnsi="Cambria Math"/>
                </w:rPr>
                <m:t>=</m:t>
              </m:r>
              <m:sSub>
                <m:sSubPr>
                  <m:ctrlPr>
                    <w:rPr>
                      <w:rFonts w:ascii="Cambria Math" w:hAnsi="Cambria Math"/>
                      <w:lang w:bidi="en-US"/>
                    </w:rPr>
                  </m:ctrlPr>
                </m:sSubPr>
                <m:e>
                  <m:r>
                    <w:rPr>
                      <w:rFonts w:ascii="Cambria Math" w:hAnsi="Cambria Math"/>
                    </w:rPr>
                    <m:t>H</m:t>
                  </m:r>
                </m:e>
                <m:sub>
                  <m:r>
                    <m:rPr>
                      <m:sty m:val="p"/>
                    </m:rPr>
                    <w:rPr>
                      <w:rFonts w:ascii="Cambria Math" w:hAnsi="Cambria Math"/>
                    </w:rPr>
                    <m:t>2</m:t>
                  </m:r>
                </m:sub>
              </m:sSub>
              <m:r>
                <w:rPr>
                  <w:rFonts w:ascii="Cambria Math" w:hAnsi="Cambria Math"/>
                  <w:lang w:bidi="en-US"/>
                </w:rPr>
                <m:t>O,</m:t>
              </m:r>
              <m:sSub>
                <m:sSubPr>
                  <m:ctrlPr>
                    <w:rPr>
                      <w:rFonts w:ascii="Cambria Math" w:hAnsi="Cambria Math"/>
                      <w:lang w:bidi="en-US"/>
                    </w:rPr>
                  </m:ctrlPr>
                </m:sSubPr>
                <m:e>
                  <m:r>
                    <w:rPr>
                      <w:rFonts w:ascii="Cambria Math" w:hAnsi="Cambria Math"/>
                    </w:rPr>
                    <m:t>N</m:t>
                  </m:r>
                </m:e>
                <m:sub>
                  <m:r>
                    <m:rPr>
                      <m:sty m:val="p"/>
                    </m:rPr>
                    <w:rPr>
                      <w:rFonts w:ascii="Cambria Math" w:hAnsi="Cambria Math"/>
                    </w:rPr>
                    <m:t>2</m:t>
                  </m:r>
                </m:sub>
              </m:sSub>
              <m:r>
                <w:rPr>
                  <w:rFonts w:ascii="Cambria Math" w:hAnsi="Cambria Math"/>
                  <w:lang w:bidi="en-US"/>
                </w:rPr>
                <m:t>, tar</m:t>
              </m:r>
            </m:oMath>
            <w:r>
              <w:rPr>
                <w:lang w:bidi="en-US"/>
              </w:rPr>
              <w:t xml:space="preserve">            </w:t>
            </w:r>
          </w:p>
        </w:tc>
        <w:tc>
          <w:tcPr>
            <w:tcW w:w="985" w:type="dxa"/>
            <w:vAlign w:val="center"/>
          </w:tcPr>
          <w:p w14:paraId="65D604AD"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Eq. (3)</w:t>
            </w:r>
          </w:p>
        </w:tc>
      </w:tr>
    </w:tbl>
    <w:p w14:paraId="2FB49489" w14:textId="7707B25C" w:rsidR="000013D7" w:rsidRDefault="000013D7" w:rsidP="000013D7">
      <w:pPr>
        <w:pStyle w:val="CETBodytext"/>
        <w:spacing w:line="240" w:lineRule="auto"/>
        <w:rPr>
          <w:rFonts w:cs="Arial"/>
          <w:lang w:val="en-GB" w:eastAsia="de-DE" w:bidi="en-US"/>
        </w:rPr>
      </w:pPr>
      <w:r>
        <w:rPr>
          <w:rFonts w:cs="Arial"/>
          <w:lang w:val="en-GB" w:eastAsia="de-DE" w:bidi="en-US"/>
        </w:rPr>
        <w:t>The value of GHSV was chosen to be close to that expected in a filter candle filled with catalyst (</w:t>
      </w:r>
      <w:proofErr w:type="spellStart"/>
      <w:sdt>
        <w:sdtPr>
          <w:rPr>
            <w:rFonts w:cs="Arial"/>
            <w:color w:val="000000"/>
            <w:lang w:val="en-GB" w:eastAsia="de-DE" w:bidi="en-US"/>
          </w:rPr>
          <w:tag w:val="MENDELEY_CITATION_v3_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"/>
          <w:id w:val="-1483459063"/>
          <w:placeholder>
            <w:docPart w:val="CDCA9DB853544365A0569AE626495206"/>
          </w:placeholder>
        </w:sdtPr>
        <w:sdtEndPr/>
        <w:sdtContent>
          <w:r w:rsidRPr="00F83D5C">
            <w:rPr>
              <w:rFonts w:cs="Arial"/>
              <w:color w:val="000000"/>
              <w:lang w:val="en-GB" w:eastAsia="de-DE" w:bidi="en-US"/>
            </w:rPr>
            <w:t>Savuto</w:t>
          </w:r>
          <w:proofErr w:type="spellEnd"/>
          <w:r w:rsidRPr="00F83D5C">
            <w:rPr>
              <w:rFonts w:cs="Arial"/>
              <w:color w:val="000000"/>
              <w:lang w:val="en-GB" w:eastAsia="de-DE" w:bidi="en-US"/>
            </w:rPr>
            <w:t xml:space="preserve"> et al., 2019)</w:t>
          </w:r>
        </w:sdtContent>
      </w:sdt>
    </w:p>
    <w:p w14:paraId="3DB32143" w14:textId="77777777" w:rsidR="000013D7" w:rsidRPr="00884506" w:rsidRDefault="000013D7" w:rsidP="000013D7">
      <w:pPr>
        <w:pStyle w:val="CETTabletitle"/>
        <w:rPr>
          <w:b/>
          <w:bCs/>
        </w:rPr>
      </w:pPr>
      <w:r w:rsidRPr="00884506">
        <w:lastRenderedPageBreak/>
        <w:t xml:space="preserve">Table </w:t>
      </w:r>
      <w:r w:rsidRPr="00884506">
        <w:fldChar w:fldCharType="begin"/>
      </w:r>
      <w:r w:rsidRPr="00884506">
        <w:instrText xml:space="preserve"> SEQ Table \* ARABIC </w:instrText>
      </w:r>
      <w:r w:rsidRPr="00884506">
        <w:fldChar w:fldCharType="separate"/>
      </w:r>
      <w:r w:rsidRPr="00884506">
        <w:rPr>
          <w:noProof/>
        </w:rPr>
        <w:t>1</w:t>
      </w:r>
      <w:r w:rsidRPr="00884506">
        <w:fldChar w:fldCharType="end"/>
      </w:r>
      <w:r>
        <w:t xml:space="preserve">: Process conditions for the first test campaign to compare the behaviour of the novel catalyst and a commercial </w:t>
      </w:r>
      <w:proofErr w:type="gramStart"/>
      <w:r>
        <w:t>one</w:t>
      </w:r>
      <w:proofErr w:type="gramEnd"/>
      <w:r>
        <w:t xml:space="preserve"> </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968"/>
        <w:gridCol w:w="942"/>
        <w:gridCol w:w="1107"/>
        <w:gridCol w:w="1126"/>
        <w:gridCol w:w="1067"/>
        <w:gridCol w:w="1035"/>
        <w:gridCol w:w="32"/>
      </w:tblGrid>
      <w:tr w:rsidR="000013D7" w14:paraId="55A0FB42" w14:textId="77777777" w:rsidTr="005C7F56">
        <w:trPr>
          <w:trHeight w:val="340"/>
        </w:trPr>
        <w:tc>
          <w:tcPr>
            <w:tcW w:w="1428" w:type="pct"/>
            <w:tcBorders>
              <w:top w:val="single" w:sz="4" w:space="0" w:color="auto"/>
              <w:bottom w:val="single" w:sz="4" w:space="0" w:color="auto"/>
            </w:tcBorders>
            <w:vAlign w:val="center"/>
          </w:tcPr>
          <w:p w14:paraId="1C0FEAD9" w14:textId="77777777" w:rsidR="000013D7" w:rsidRDefault="000013D7" w:rsidP="005C7F56">
            <w:pPr>
              <w:pStyle w:val="CETBodytext"/>
              <w:spacing w:line="240" w:lineRule="auto"/>
              <w:jc w:val="center"/>
              <w:rPr>
                <w:rFonts w:cs="Arial"/>
                <w:lang w:val="en-GB" w:eastAsia="de-DE" w:bidi="en-US"/>
              </w:rPr>
            </w:pPr>
          </w:p>
        </w:tc>
        <w:tc>
          <w:tcPr>
            <w:tcW w:w="551" w:type="pct"/>
            <w:tcBorders>
              <w:top w:val="single" w:sz="4" w:space="0" w:color="auto"/>
              <w:bottom w:val="single" w:sz="4" w:space="0" w:color="auto"/>
            </w:tcBorders>
            <w:vAlign w:val="center"/>
          </w:tcPr>
          <w:p w14:paraId="29B142B4"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w:t>
            </w:r>
          </w:p>
        </w:tc>
        <w:tc>
          <w:tcPr>
            <w:tcW w:w="536" w:type="pct"/>
            <w:tcBorders>
              <w:top w:val="single" w:sz="4" w:space="0" w:color="auto"/>
              <w:bottom w:val="single" w:sz="4" w:space="0" w:color="auto"/>
            </w:tcBorders>
            <w:vAlign w:val="center"/>
          </w:tcPr>
          <w:p w14:paraId="1058ABE4"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#2</w:t>
            </w:r>
          </w:p>
        </w:tc>
        <w:tc>
          <w:tcPr>
            <w:tcW w:w="630" w:type="pct"/>
            <w:tcBorders>
              <w:top w:val="single" w:sz="4" w:space="0" w:color="auto"/>
              <w:bottom w:val="single" w:sz="4" w:space="0" w:color="auto"/>
            </w:tcBorders>
            <w:vAlign w:val="center"/>
          </w:tcPr>
          <w:p w14:paraId="34C6FBA8"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#3</w:t>
            </w:r>
          </w:p>
        </w:tc>
        <w:tc>
          <w:tcPr>
            <w:tcW w:w="641" w:type="pct"/>
            <w:tcBorders>
              <w:top w:val="single" w:sz="4" w:space="0" w:color="auto"/>
              <w:bottom w:val="single" w:sz="4" w:space="0" w:color="auto"/>
            </w:tcBorders>
            <w:vAlign w:val="center"/>
          </w:tcPr>
          <w:p w14:paraId="50B12DDA"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#4</w:t>
            </w:r>
          </w:p>
        </w:tc>
        <w:tc>
          <w:tcPr>
            <w:tcW w:w="607" w:type="pct"/>
            <w:tcBorders>
              <w:top w:val="single" w:sz="4" w:space="0" w:color="auto"/>
              <w:bottom w:val="single" w:sz="4" w:space="0" w:color="auto"/>
            </w:tcBorders>
            <w:vAlign w:val="center"/>
          </w:tcPr>
          <w:p w14:paraId="3838EB86"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#5</w:t>
            </w:r>
          </w:p>
        </w:tc>
        <w:tc>
          <w:tcPr>
            <w:tcW w:w="608" w:type="pct"/>
            <w:gridSpan w:val="2"/>
            <w:tcBorders>
              <w:top w:val="single" w:sz="4" w:space="0" w:color="auto"/>
              <w:bottom w:val="single" w:sz="4" w:space="0" w:color="auto"/>
            </w:tcBorders>
            <w:vAlign w:val="center"/>
          </w:tcPr>
          <w:p w14:paraId="7AB039A9"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#6</w:t>
            </w:r>
          </w:p>
        </w:tc>
      </w:tr>
      <w:tr w:rsidR="000013D7" w14:paraId="72587320" w14:textId="77777777" w:rsidTr="005C7F56">
        <w:trPr>
          <w:gridAfter w:val="1"/>
          <w:wAfter w:w="19" w:type="pct"/>
          <w:trHeight w:val="340"/>
        </w:trPr>
        <w:tc>
          <w:tcPr>
            <w:tcW w:w="1428" w:type="pct"/>
            <w:tcBorders>
              <w:top w:val="single" w:sz="4" w:space="0" w:color="auto"/>
            </w:tcBorders>
            <w:vAlign w:val="center"/>
          </w:tcPr>
          <w:p w14:paraId="1BD3FE5A"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Catalyst</w:t>
            </w:r>
          </w:p>
        </w:tc>
        <w:tc>
          <w:tcPr>
            <w:tcW w:w="1717" w:type="pct"/>
            <w:gridSpan w:val="3"/>
            <w:tcBorders>
              <w:top w:val="single" w:sz="4" w:space="0" w:color="auto"/>
            </w:tcBorders>
            <w:vAlign w:val="center"/>
          </w:tcPr>
          <w:p w14:paraId="2ED18156"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Commercial</w:t>
            </w:r>
          </w:p>
        </w:tc>
        <w:tc>
          <w:tcPr>
            <w:tcW w:w="1837" w:type="pct"/>
            <w:gridSpan w:val="3"/>
            <w:tcBorders>
              <w:top w:val="single" w:sz="4" w:space="0" w:color="auto"/>
            </w:tcBorders>
            <w:vAlign w:val="center"/>
          </w:tcPr>
          <w:p w14:paraId="365B9463" w14:textId="77777777" w:rsidR="000013D7" w:rsidRPr="00B60AE0" w:rsidRDefault="000013D7" w:rsidP="005C7F56">
            <w:pPr>
              <w:pStyle w:val="CETBodytext"/>
              <w:spacing w:line="240" w:lineRule="auto"/>
              <w:jc w:val="center"/>
              <w:rPr>
                <w:rFonts w:cs="Arial"/>
                <w:lang w:val="en-GB" w:eastAsia="de-DE" w:bidi="en-US"/>
              </w:rPr>
            </w:pPr>
            <w:r w:rsidRPr="00B60AE0">
              <w:rPr>
                <w:rFonts w:cs="Arial"/>
                <w:lang w:val="en-GB" w:eastAsia="de-DE" w:bidi="en-US"/>
              </w:rPr>
              <w:t>C&amp;CS #1050 B</w:t>
            </w:r>
          </w:p>
        </w:tc>
      </w:tr>
      <w:tr w:rsidR="000013D7" w14:paraId="2A5CE8BC" w14:textId="77777777" w:rsidTr="005C7F56">
        <w:trPr>
          <w:trHeight w:val="340"/>
        </w:trPr>
        <w:tc>
          <w:tcPr>
            <w:tcW w:w="1428" w:type="pct"/>
            <w:vAlign w:val="center"/>
          </w:tcPr>
          <w:p w14:paraId="464598AC"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Temperature [°C]</w:t>
            </w:r>
          </w:p>
        </w:tc>
        <w:tc>
          <w:tcPr>
            <w:tcW w:w="551" w:type="pct"/>
            <w:vAlign w:val="center"/>
          </w:tcPr>
          <w:p w14:paraId="76FED6AC"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700</w:t>
            </w:r>
          </w:p>
        </w:tc>
        <w:tc>
          <w:tcPr>
            <w:tcW w:w="536" w:type="pct"/>
            <w:vAlign w:val="center"/>
          </w:tcPr>
          <w:p w14:paraId="297E7CAC"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750</w:t>
            </w:r>
          </w:p>
        </w:tc>
        <w:tc>
          <w:tcPr>
            <w:tcW w:w="630" w:type="pct"/>
            <w:vAlign w:val="center"/>
          </w:tcPr>
          <w:p w14:paraId="74819372"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800</w:t>
            </w:r>
          </w:p>
        </w:tc>
        <w:tc>
          <w:tcPr>
            <w:tcW w:w="641" w:type="pct"/>
            <w:vAlign w:val="center"/>
          </w:tcPr>
          <w:p w14:paraId="2A0268C3"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700</w:t>
            </w:r>
          </w:p>
        </w:tc>
        <w:tc>
          <w:tcPr>
            <w:tcW w:w="607" w:type="pct"/>
            <w:vAlign w:val="center"/>
          </w:tcPr>
          <w:p w14:paraId="3979CD7E"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750</w:t>
            </w:r>
          </w:p>
        </w:tc>
        <w:tc>
          <w:tcPr>
            <w:tcW w:w="608" w:type="pct"/>
            <w:gridSpan w:val="2"/>
            <w:vAlign w:val="center"/>
          </w:tcPr>
          <w:p w14:paraId="10CD2DA6"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800</w:t>
            </w:r>
          </w:p>
        </w:tc>
      </w:tr>
      <w:tr w:rsidR="000013D7" w14:paraId="7088A80E" w14:textId="77777777" w:rsidTr="005C7F56">
        <w:trPr>
          <w:trHeight w:val="340"/>
        </w:trPr>
        <w:tc>
          <w:tcPr>
            <w:tcW w:w="1428" w:type="pct"/>
            <w:vAlign w:val="center"/>
          </w:tcPr>
          <w:p w14:paraId="49594D50"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GHSV [h</w:t>
            </w:r>
            <w:r w:rsidRPr="00A2277D">
              <w:rPr>
                <w:rFonts w:cs="Arial"/>
                <w:vertAlign w:val="superscript"/>
                <w:lang w:val="en-GB" w:eastAsia="de-DE" w:bidi="en-US"/>
              </w:rPr>
              <w:t>-1</w:t>
            </w:r>
            <w:r>
              <w:rPr>
                <w:rFonts w:cs="Arial"/>
                <w:lang w:val="en-GB" w:eastAsia="de-DE" w:bidi="en-US"/>
              </w:rPr>
              <w:t>]</w:t>
            </w:r>
          </w:p>
        </w:tc>
        <w:tc>
          <w:tcPr>
            <w:tcW w:w="1717" w:type="pct"/>
            <w:gridSpan w:val="3"/>
            <w:vAlign w:val="center"/>
          </w:tcPr>
          <w:p w14:paraId="01F7C7D0"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6000</w:t>
            </w:r>
          </w:p>
        </w:tc>
        <w:tc>
          <w:tcPr>
            <w:tcW w:w="1855" w:type="pct"/>
            <w:gridSpan w:val="4"/>
            <w:vAlign w:val="center"/>
          </w:tcPr>
          <w:p w14:paraId="19B9308F"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6000</w:t>
            </w:r>
          </w:p>
        </w:tc>
      </w:tr>
      <w:tr w:rsidR="000013D7" w14:paraId="55C6B445" w14:textId="77777777" w:rsidTr="005C7F56">
        <w:trPr>
          <w:trHeight w:val="340"/>
        </w:trPr>
        <w:tc>
          <w:tcPr>
            <w:tcW w:w="1428" w:type="pct"/>
            <w:vAlign w:val="center"/>
          </w:tcPr>
          <w:p w14:paraId="45A40437"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Tar content [g/Nm</w:t>
            </w:r>
            <w:r w:rsidRPr="00A2277D">
              <w:rPr>
                <w:rFonts w:cs="Arial"/>
                <w:vertAlign w:val="superscript"/>
                <w:lang w:val="en-GB" w:eastAsia="de-DE" w:bidi="en-US"/>
              </w:rPr>
              <w:t>3</w:t>
            </w:r>
            <w:r>
              <w:rPr>
                <w:rFonts w:cs="Arial"/>
                <w:lang w:val="en-GB" w:eastAsia="de-DE" w:bidi="en-US"/>
              </w:rPr>
              <w:t>]</w:t>
            </w:r>
          </w:p>
        </w:tc>
        <w:tc>
          <w:tcPr>
            <w:tcW w:w="3572" w:type="pct"/>
            <w:gridSpan w:val="7"/>
            <w:vAlign w:val="center"/>
          </w:tcPr>
          <w:p w14:paraId="404297CF"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13.7</w:t>
            </w:r>
          </w:p>
        </w:tc>
      </w:tr>
      <w:tr w:rsidR="000013D7" w14:paraId="14B08E2F" w14:textId="77777777" w:rsidTr="005C7F56">
        <w:trPr>
          <w:trHeight w:val="340"/>
        </w:trPr>
        <w:tc>
          <w:tcPr>
            <w:tcW w:w="1428" w:type="pct"/>
            <w:tcBorders>
              <w:bottom w:val="single" w:sz="4" w:space="0" w:color="auto"/>
            </w:tcBorders>
            <w:vAlign w:val="center"/>
          </w:tcPr>
          <w:p w14:paraId="42FE8D43"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Thiophene* [</w:t>
            </w:r>
            <w:proofErr w:type="spellStart"/>
            <w:r>
              <w:rPr>
                <w:rFonts w:cs="Arial"/>
                <w:lang w:val="en-GB" w:eastAsia="de-DE" w:bidi="en-US"/>
              </w:rPr>
              <w:t>ppmv</w:t>
            </w:r>
            <w:proofErr w:type="spellEnd"/>
            <w:r>
              <w:rPr>
                <w:rFonts w:cs="Arial"/>
                <w:lang w:val="en-GB" w:eastAsia="de-DE" w:bidi="en-US"/>
              </w:rPr>
              <w:t>]</w:t>
            </w:r>
          </w:p>
        </w:tc>
        <w:tc>
          <w:tcPr>
            <w:tcW w:w="3572" w:type="pct"/>
            <w:gridSpan w:val="7"/>
            <w:tcBorders>
              <w:bottom w:val="single" w:sz="4" w:space="0" w:color="auto"/>
            </w:tcBorders>
            <w:vAlign w:val="center"/>
          </w:tcPr>
          <w:p w14:paraId="3A7E2725"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50</w:t>
            </w:r>
          </w:p>
        </w:tc>
      </w:tr>
    </w:tbl>
    <w:p w14:paraId="544B6F73" w14:textId="06951A42" w:rsidR="000013D7" w:rsidRDefault="000013D7" w:rsidP="000013D7">
      <w:pPr>
        <w:pStyle w:val="CETBodytext"/>
        <w:spacing w:line="240" w:lineRule="auto"/>
        <w:rPr>
          <w:rFonts w:cs="Arial"/>
          <w:lang w:val="en-GB" w:eastAsia="de-DE" w:bidi="en-US"/>
        </w:rPr>
      </w:pPr>
      <w:r>
        <w:rPr>
          <w:rFonts w:cs="Arial"/>
          <w:lang w:val="en-GB" w:eastAsia="de-DE" w:bidi="en-US"/>
        </w:rPr>
        <w:t>* H</w:t>
      </w:r>
      <w:r w:rsidRPr="00A2277D">
        <w:rPr>
          <w:rFonts w:cs="Arial"/>
          <w:vertAlign w:val="subscript"/>
          <w:lang w:val="en-GB" w:eastAsia="de-DE" w:bidi="en-US"/>
        </w:rPr>
        <w:t>2</w:t>
      </w:r>
      <w:r>
        <w:rPr>
          <w:rFonts w:cs="Arial"/>
          <w:lang w:val="en-GB" w:eastAsia="de-DE" w:bidi="en-US"/>
        </w:rPr>
        <w:t xml:space="preserve">S equivalent </w:t>
      </w:r>
    </w:p>
    <w:p w14:paraId="6F4BB7FA" w14:textId="77777777" w:rsidR="00CC0853" w:rsidRDefault="00CC0853" w:rsidP="000013D7">
      <w:pPr>
        <w:pStyle w:val="CETBodytext"/>
        <w:spacing w:line="240" w:lineRule="auto"/>
        <w:rPr>
          <w:rFonts w:cs="Arial"/>
          <w:lang w:val="en-GB" w:eastAsia="de-DE" w:bidi="en-US"/>
        </w:rPr>
      </w:pPr>
    </w:p>
    <w:p w14:paraId="1D578755" w14:textId="77777777" w:rsidR="000013D7" w:rsidRPr="00884506" w:rsidRDefault="000013D7" w:rsidP="000013D7">
      <w:pPr>
        <w:pStyle w:val="CETTabletitle"/>
        <w:rPr>
          <w:b/>
          <w:bCs/>
        </w:rPr>
      </w:pPr>
      <w:r w:rsidRPr="00884506">
        <w:t xml:space="preserve">Table </w:t>
      </w:r>
      <w:r w:rsidRPr="00884506">
        <w:fldChar w:fldCharType="begin"/>
      </w:r>
      <w:r w:rsidRPr="00884506">
        <w:instrText xml:space="preserve"> SEQ Table \* ARABIC </w:instrText>
      </w:r>
      <w:r w:rsidRPr="00884506">
        <w:fldChar w:fldCharType="separate"/>
      </w:r>
      <w:r>
        <w:rPr>
          <w:noProof/>
        </w:rPr>
        <w:t>2</w:t>
      </w:r>
      <w:r w:rsidRPr="00884506">
        <w:fldChar w:fldCharType="end"/>
      </w:r>
      <w:r>
        <w:t xml:space="preserve">: </w:t>
      </w:r>
      <w:r w:rsidRPr="00F1345B">
        <w:t xml:space="preserve">Process conditions of </w:t>
      </w:r>
      <w:r>
        <w:t xml:space="preserve">the </w:t>
      </w:r>
      <w:r w:rsidRPr="00F1345B">
        <w:t xml:space="preserve">second </w:t>
      </w:r>
      <w:r>
        <w:t xml:space="preserve">test </w:t>
      </w:r>
      <w:r w:rsidRPr="00F1345B">
        <w:t>campaign on the novel catalyst</w:t>
      </w:r>
    </w:p>
    <w:tbl>
      <w:tblPr>
        <w:tblStyle w:val="Grigliatabel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1181"/>
        <w:gridCol w:w="1184"/>
        <w:gridCol w:w="1012"/>
        <w:gridCol w:w="1181"/>
        <w:gridCol w:w="1184"/>
        <w:gridCol w:w="851"/>
      </w:tblGrid>
      <w:tr w:rsidR="000013D7" w14:paraId="56CB0AC3" w14:textId="77777777" w:rsidTr="005C7F56">
        <w:trPr>
          <w:trHeight w:val="340"/>
        </w:trPr>
        <w:tc>
          <w:tcPr>
            <w:tcW w:w="1248" w:type="pct"/>
            <w:tcBorders>
              <w:bottom w:val="single" w:sz="4" w:space="0" w:color="auto"/>
            </w:tcBorders>
            <w:vAlign w:val="center"/>
          </w:tcPr>
          <w:p w14:paraId="41EF8326" w14:textId="77777777" w:rsidR="000013D7" w:rsidRDefault="000013D7" w:rsidP="005C7F56">
            <w:pPr>
              <w:pStyle w:val="CETBodytext"/>
              <w:spacing w:line="240" w:lineRule="auto"/>
              <w:jc w:val="center"/>
              <w:rPr>
                <w:rFonts w:cs="Arial"/>
                <w:lang w:val="en-GB" w:eastAsia="de-DE" w:bidi="en-US"/>
              </w:rPr>
            </w:pPr>
          </w:p>
        </w:tc>
        <w:tc>
          <w:tcPr>
            <w:tcW w:w="672" w:type="pct"/>
            <w:tcBorders>
              <w:bottom w:val="single" w:sz="4" w:space="0" w:color="auto"/>
            </w:tcBorders>
            <w:vAlign w:val="center"/>
          </w:tcPr>
          <w:p w14:paraId="1C871648"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w:t>
            </w:r>
          </w:p>
        </w:tc>
        <w:tc>
          <w:tcPr>
            <w:tcW w:w="674" w:type="pct"/>
            <w:tcBorders>
              <w:bottom w:val="single" w:sz="4" w:space="0" w:color="auto"/>
            </w:tcBorders>
            <w:vAlign w:val="center"/>
          </w:tcPr>
          <w:p w14:paraId="056E9AF5"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#8</w:t>
            </w:r>
          </w:p>
        </w:tc>
        <w:tc>
          <w:tcPr>
            <w:tcW w:w="576" w:type="pct"/>
            <w:tcBorders>
              <w:bottom w:val="single" w:sz="4" w:space="0" w:color="auto"/>
            </w:tcBorders>
            <w:vAlign w:val="center"/>
          </w:tcPr>
          <w:p w14:paraId="7F3B5176"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#9</w:t>
            </w:r>
          </w:p>
        </w:tc>
        <w:tc>
          <w:tcPr>
            <w:tcW w:w="672" w:type="pct"/>
            <w:tcBorders>
              <w:bottom w:val="single" w:sz="4" w:space="0" w:color="auto"/>
            </w:tcBorders>
            <w:vAlign w:val="center"/>
          </w:tcPr>
          <w:p w14:paraId="21B11F5E"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#10</w:t>
            </w:r>
          </w:p>
        </w:tc>
        <w:tc>
          <w:tcPr>
            <w:tcW w:w="674" w:type="pct"/>
            <w:tcBorders>
              <w:bottom w:val="single" w:sz="4" w:space="0" w:color="auto"/>
            </w:tcBorders>
            <w:vAlign w:val="center"/>
          </w:tcPr>
          <w:p w14:paraId="230D2A99"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#11</w:t>
            </w:r>
          </w:p>
        </w:tc>
        <w:tc>
          <w:tcPr>
            <w:tcW w:w="484" w:type="pct"/>
            <w:tcBorders>
              <w:bottom w:val="single" w:sz="4" w:space="0" w:color="auto"/>
            </w:tcBorders>
            <w:vAlign w:val="center"/>
          </w:tcPr>
          <w:p w14:paraId="4B27F411"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#12</w:t>
            </w:r>
          </w:p>
        </w:tc>
      </w:tr>
      <w:tr w:rsidR="000013D7" w14:paraId="3A3EAFB5" w14:textId="77777777" w:rsidTr="005C7F56">
        <w:trPr>
          <w:trHeight w:val="340"/>
        </w:trPr>
        <w:tc>
          <w:tcPr>
            <w:tcW w:w="1248" w:type="pct"/>
            <w:tcBorders>
              <w:top w:val="single" w:sz="4" w:space="0" w:color="auto"/>
              <w:bottom w:val="nil"/>
            </w:tcBorders>
            <w:vAlign w:val="center"/>
          </w:tcPr>
          <w:p w14:paraId="4668CBD5"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Catalyst</w:t>
            </w:r>
          </w:p>
        </w:tc>
        <w:tc>
          <w:tcPr>
            <w:tcW w:w="3752" w:type="pct"/>
            <w:gridSpan w:val="6"/>
            <w:tcBorders>
              <w:top w:val="single" w:sz="4" w:space="0" w:color="auto"/>
              <w:bottom w:val="nil"/>
            </w:tcBorders>
            <w:vAlign w:val="center"/>
          </w:tcPr>
          <w:p w14:paraId="3D6080EC" w14:textId="77777777" w:rsidR="000013D7" w:rsidRDefault="000013D7" w:rsidP="005C7F56">
            <w:pPr>
              <w:pStyle w:val="CETBodytext"/>
              <w:spacing w:line="240" w:lineRule="auto"/>
              <w:jc w:val="center"/>
              <w:rPr>
                <w:rFonts w:cs="Arial"/>
                <w:lang w:val="en-GB" w:eastAsia="de-DE" w:bidi="en-US"/>
              </w:rPr>
            </w:pPr>
            <w:r w:rsidRPr="00B60AE0">
              <w:rPr>
                <w:rFonts w:cs="Arial"/>
                <w:lang w:val="en-GB" w:eastAsia="de-DE" w:bidi="en-US"/>
              </w:rPr>
              <w:t>C&amp;CS #1050 B</w:t>
            </w:r>
          </w:p>
        </w:tc>
      </w:tr>
      <w:tr w:rsidR="000013D7" w14:paraId="2201D679" w14:textId="77777777" w:rsidTr="005C7F56">
        <w:trPr>
          <w:trHeight w:val="340"/>
        </w:trPr>
        <w:tc>
          <w:tcPr>
            <w:tcW w:w="1248" w:type="pct"/>
            <w:tcBorders>
              <w:top w:val="nil"/>
            </w:tcBorders>
            <w:vAlign w:val="center"/>
          </w:tcPr>
          <w:p w14:paraId="11E781A8"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Temperature [°C]</w:t>
            </w:r>
          </w:p>
        </w:tc>
        <w:tc>
          <w:tcPr>
            <w:tcW w:w="672" w:type="pct"/>
            <w:tcBorders>
              <w:top w:val="nil"/>
            </w:tcBorders>
            <w:vAlign w:val="center"/>
          </w:tcPr>
          <w:p w14:paraId="7965C7C5"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700</w:t>
            </w:r>
          </w:p>
        </w:tc>
        <w:tc>
          <w:tcPr>
            <w:tcW w:w="674" w:type="pct"/>
            <w:tcBorders>
              <w:top w:val="nil"/>
            </w:tcBorders>
            <w:vAlign w:val="center"/>
          </w:tcPr>
          <w:p w14:paraId="50ADC42E"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750</w:t>
            </w:r>
          </w:p>
        </w:tc>
        <w:tc>
          <w:tcPr>
            <w:tcW w:w="576" w:type="pct"/>
            <w:tcBorders>
              <w:top w:val="nil"/>
            </w:tcBorders>
            <w:vAlign w:val="center"/>
          </w:tcPr>
          <w:p w14:paraId="354BFD0A"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800</w:t>
            </w:r>
          </w:p>
        </w:tc>
        <w:tc>
          <w:tcPr>
            <w:tcW w:w="672" w:type="pct"/>
            <w:tcBorders>
              <w:top w:val="nil"/>
            </w:tcBorders>
            <w:vAlign w:val="center"/>
          </w:tcPr>
          <w:p w14:paraId="3F374ACA"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650</w:t>
            </w:r>
          </w:p>
        </w:tc>
        <w:tc>
          <w:tcPr>
            <w:tcW w:w="674" w:type="pct"/>
            <w:tcBorders>
              <w:top w:val="nil"/>
            </w:tcBorders>
            <w:vAlign w:val="center"/>
          </w:tcPr>
          <w:p w14:paraId="473CFF46"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700</w:t>
            </w:r>
          </w:p>
        </w:tc>
        <w:tc>
          <w:tcPr>
            <w:tcW w:w="484" w:type="pct"/>
            <w:tcBorders>
              <w:top w:val="nil"/>
            </w:tcBorders>
            <w:vAlign w:val="center"/>
          </w:tcPr>
          <w:p w14:paraId="0A19FCBF"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750</w:t>
            </w:r>
          </w:p>
        </w:tc>
      </w:tr>
      <w:tr w:rsidR="000013D7" w14:paraId="4047F2CC" w14:textId="77777777" w:rsidTr="005C7F56">
        <w:trPr>
          <w:trHeight w:val="340"/>
        </w:trPr>
        <w:tc>
          <w:tcPr>
            <w:tcW w:w="1248" w:type="pct"/>
            <w:vAlign w:val="center"/>
          </w:tcPr>
          <w:p w14:paraId="3B8DA471"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GHSV [h</w:t>
            </w:r>
            <w:r w:rsidRPr="00A2277D">
              <w:rPr>
                <w:rFonts w:cs="Arial"/>
                <w:vertAlign w:val="superscript"/>
                <w:lang w:val="en-GB" w:eastAsia="de-DE" w:bidi="en-US"/>
              </w:rPr>
              <w:t>-1</w:t>
            </w:r>
            <w:r>
              <w:rPr>
                <w:rFonts w:cs="Arial"/>
                <w:lang w:val="en-GB" w:eastAsia="de-DE" w:bidi="en-US"/>
              </w:rPr>
              <w:t>]</w:t>
            </w:r>
          </w:p>
        </w:tc>
        <w:tc>
          <w:tcPr>
            <w:tcW w:w="1922" w:type="pct"/>
            <w:gridSpan w:val="3"/>
            <w:vAlign w:val="center"/>
          </w:tcPr>
          <w:p w14:paraId="43EA5DA4"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13000</w:t>
            </w:r>
          </w:p>
        </w:tc>
        <w:tc>
          <w:tcPr>
            <w:tcW w:w="1830" w:type="pct"/>
            <w:gridSpan w:val="3"/>
            <w:vAlign w:val="center"/>
          </w:tcPr>
          <w:p w14:paraId="11172736"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6000</w:t>
            </w:r>
          </w:p>
        </w:tc>
      </w:tr>
      <w:tr w:rsidR="000013D7" w14:paraId="34820126" w14:textId="77777777" w:rsidTr="005C7F56">
        <w:trPr>
          <w:trHeight w:val="340"/>
        </w:trPr>
        <w:tc>
          <w:tcPr>
            <w:tcW w:w="1248" w:type="pct"/>
            <w:vAlign w:val="center"/>
          </w:tcPr>
          <w:p w14:paraId="233A4E15"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Tar content [g/Nm</w:t>
            </w:r>
            <w:r w:rsidRPr="00A2277D">
              <w:rPr>
                <w:rFonts w:cs="Arial"/>
                <w:vertAlign w:val="superscript"/>
                <w:lang w:val="en-GB" w:eastAsia="de-DE" w:bidi="en-US"/>
              </w:rPr>
              <w:t>3</w:t>
            </w:r>
            <w:r>
              <w:rPr>
                <w:rFonts w:cs="Arial"/>
                <w:lang w:val="en-GB" w:eastAsia="de-DE" w:bidi="en-US"/>
              </w:rPr>
              <w:t>]</w:t>
            </w:r>
          </w:p>
        </w:tc>
        <w:tc>
          <w:tcPr>
            <w:tcW w:w="3752" w:type="pct"/>
            <w:gridSpan w:val="6"/>
            <w:vAlign w:val="center"/>
          </w:tcPr>
          <w:p w14:paraId="0ED24A88"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13.7</w:t>
            </w:r>
          </w:p>
        </w:tc>
      </w:tr>
      <w:tr w:rsidR="000013D7" w14:paraId="521CCC80" w14:textId="77777777" w:rsidTr="005C7F56">
        <w:trPr>
          <w:trHeight w:val="340"/>
        </w:trPr>
        <w:tc>
          <w:tcPr>
            <w:tcW w:w="1248" w:type="pct"/>
            <w:vAlign w:val="center"/>
          </w:tcPr>
          <w:p w14:paraId="7A72DC0D" w14:textId="77777777" w:rsidR="000013D7" w:rsidRDefault="000013D7" w:rsidP="005C7F56">
            <w:pPr>
              <w:pStyle w:val="CETBodytext"/>
              <w:spacing w:line="240" w:lineRule="auto"/>
              <w:jc w:val="left"/>
              <w:rPr>
                <w:rFonts w:cs="Arial"/>
                <w:lang w:val="en-GB" w:eastAsia="de-DE" w:bidi="en-US"/>
              </w:rPr>
            </w:pPr>
            <w:r>
              <w:rPr>
                <w:rFonts w:cs="Arial"/>
                <w:lang w:val="en-GB" w:eastAsia="de-DE" w:bidi="en-US"/>
              </w:rPr>
              <w:t>Thiophene* [</w:t>
            </w:r>
            <w:proofErr w:type="spellStart"/>
            <w:r>
              <w:rPr>
                <w:rFonts w:cs="Arial"/>
                <w:lang w:val="en-GB" w:eastAsia="de-DE" w:bidi="en-US"/>
              </w:rPr>
              <w:t>ppmv</w:t>
            </w:r>
            <w:proofErr w:type="spellEnd"/>
            <w:r>
              <w:rPr>
                <w:rFonts w:cs="Arial"/>
                <w:lang w:val="en-GB" w:eastAsia="de-DE" w:bidi="en-US"/>
              </w:rPr>
              <w:t>]</w:t>
            </w:r>
          </w:p>
        </w:tc>
        <w:tc>
          <w:tcPr>
            <w:tcW w:w="1922" w:type="pct"/>
            <w:gridSpan w:val="3"/>
            <w:vAlign w:val="center"/>
          </w:tcPr>
          <w:p w14:paraId="2370E958"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50</w:t>
            </w:r>
          </w:p>
        </w:tc>
        <w:tc>
          <w:tcPr>
            <w:tcW w:w="1830" w:type="pct"/>
            <w:gridSpan w:val="3"/>
            <w:vAlign w:val="center"/>
          </w:tcPr>
          <w:p w14:paraId="3DB489F2" w14:textId="77777777" w:rsidR="000013D7" w:rsidRDefault="000013D7" w:rsidP="005C7F56">
            <w:pPr>
              <w:pStyle w:val="CETBodytext"/>
              <w:spacing w:line="240" w:lineRule="auto"/>
              <w:jc w:val="center"/>
              <w:rPr>
                <w:rFonts w:cs="Arial"/>
                <w:lang w:val="en-GB" w:eastAsia="de-DE" w:bidi="en-US"/>
              </w:rPr>
            </w:pPr>
            <w:r>
              <w:rPr>
                <w:rFonts w:cs="Arial"/>
                <w:lang w:val="en-GB" w:eastAsia="de-DE" w:bidi="en-US"/>
              </w:rPr>
              <w:t>100</w:t>
            </w:r>
          </w:p>
        </w:tc>
      </w:tr>
    </w:tbl>
    <w:p w14:paraId="35DE1E32" w14:textId="77777777" w:rsidR="000013D7" w:rsidRDefault="000013D7" w:rsidP="000013D7">
      <w:pPr>
        <w:pStyle w:val="CETBodytext"/>
        <w:spacing w:line="240" w:lineRule="auto"/>
        <w:rPr>
          <w:rFonts w:cs="Arial"/>
          <w:lang w:val="en-GB" w:eastAsia="de-DE" w:bidi="en-US"/>
        </w:rPr>
      </w:pPr>
      <w:r>
        <w:rPr>
          <w:rFonts w:cs="Arial"/>
          <w:lang w:val="en-GB" w:eastAsia="de-DE" w:bidi="en-US"/>
        </w:rPr>
        <w:t>* H</w:t>
      </w:r>
      <w:r w:rsidRPr="00A2277D">
        <w:rPr>
          <w:rFonts w:cs="Arial"/>
          <w:vertAlign w:val="subscript"/>
          <w:lang w:val="en-GB" w:eastAsia="de-DE" w:bidi="en-US"/>
        </w:rPr>
        <w:t>2</w:t>
      </w:r>
      <w:r>
        <w:rPr>
          <w:rFonts w:cs="Arial"/>
          <w:lang w:val="en-GB" w:eastAsia="de-DE" w:bidi="en-US"/>
        </w:rPr>
        <w:t xml:space="preserve">S equivalent </w:t>
      </w:r>
    </w:p>
    <w:p w14:paraId="7C0F6152" w14:textId="77777777" w:rsidR="000B7D41" w:rsidRDefault="000B7D41" w:rsidP="000B7D41">
      <w:pPr>
        <w:pStyle w:val="CETBodytext"/>
        <w:rPr>
          <w:lang w:eastAsia="de-DE" w:bidi="en-US"/>
        </w:rPr>
      </w:pPr>
    </w:p>
    <w:p w14:paraId="3A74DE60" w14:textId="00F36276" w:rsidR="00B94090" w:rsidRDefault="00B94090" w:rsidP="00B94090">
      <w:pPr>
        <w:pStyle w:val="CETHeading1"/>
      </w:pPr>
      <w:r>
        <w:t>Results and discussion</w:t>
      </w:r>
    </w:p>
    <w:p w14:paraId="136C2DFE" w14:textId="77777777" w:rsidR="00CC0853" w:rsidRDefault="00470175" w:rsidP="00CC0853">
      <w:pPr>
        <w:pStyle w:val="CETBodytext"/>
        <w:spacing w:line="240" w:lineRule="auto"/>
        <w:rPr>
          <w:rFonts w:cs="Arial"/>
          <w:lang w:val="en-GB" w:eastAsia="de-DE" w:bidi="en-US"/>
        </w:rPr>
      </w:pPr>
      <w:r w:rsidRPr="00470175">
        <w:rPr>
          <w:rFonts w:cs="Arial"/>
          <w:lang w:val="en-GB" w:eastAsia="de-DE" w:bidi="en-US"/>
        </w:rPr>
        <w:t>Figure 3 shows the comparison between the tar conversion obtained with the new catalyst and the commercial one. The conversion efficiency of the inlet hydrocarbons for the latter decreases rapidly with temperature, resulting in a 92% conversion at 800°C, which decreases to 70% at 700°C. This behaviour is attributed to inhibitory effects caused by the presence of H</w:t>
      </w:r>
      <w:r w:rsidRPr="00CC0853">
        <w:rPr>
          <w:rFonts w:cs="Arial"/>
          <w:vertAlign w:val="subscript"/>
          <w:lang w:val="en-GB" w:eastAsia="de-DE" w:bidi="en-US"/>
        </w:rPr>
        <w:t>2</w:t>
      </w:r>
      <w:r w:rsidRPr="00470175">
        <w:rPr>
          <w:rFonts w:cs="Arial"/>
          <w:lang w:val="en-GB" w:eastAsia="de-DE" w:bidi="en-US"/>
        </w:rPr>
        <w:t>S in the syngas, as reported in the literature</w:t>
      </w:r>
      <w:r w:rsidR="00295D9F">
        <w:rPr>
          <w:rFonts w:cs="Arial"/>
          <w:lang w:val="en-GB" w:eastAsia="de-DE" w:bidi="en-US"/>
        </w:rPr>
        <w:t xml:space="preserve"> </w:t>
      </w:r>
      <w:r w:rsidR="00295D9F" w:rsidRPr="00295D9F">
        <w:rPr>
          <w:rFonts w:cs="Arial"/>
          <w:lang w:val="en-GB" w:eastAsia="de-DE" w:bidi="en-US"/>
        </w:rPr>
        <w:t>(Binte Mohamed et al., 2022)</w:t>
      </w:r>
      <w:r w:rsidRPr="00470175">
        <w:rPr>
          <w:rFonts w:cs="Arial"/>
          <w:lang w:val="en-GB" w:eastAsia="de-DE" w:bidi="en-US"/>
        </w:rPr>
        <w:t>.</w:t>
      </w:r>
    </w:p>
    <w:p w14:paraId="4EDD5D69" w14:textId="3C9AA301" w:rsidR="00D51CA1" w:rsidRDefault="00D51CA1" w:rsidP="00CC0853">
      <w:pPr>
        <w:pStyle w:val="CETBodytext"/>
        <w:spacing w:line="240" w:lineRule="auto"/>
      </w:pPr>
      <w:r>
        <w:rPr>
          <w:rFonts w:cs="Arial"/>
          <w:noProof/>
          <w:lang w:val="en-GB" w:eastAsia="de-DE" w:bidi="en-US"/>
        </w:rPr>
        <w:drawing>
          <wp:inline distT="0" distB="0" distL="0" distR="0" wp14:anchorId="351E76FB" wp14:editId="1EC0B921">
            <wp:extent cx="4423537" cy="2948400"/>
            <wp:effectExtent l="0" t="0" r="0" b="4445"/>
            <wp:docPr id="36876399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63990" name="Immagin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23537" cy="2948400"/>
                    </a:xfrm>
                    <a:prstGeom prst="rect">
                      <a:avLst/>
                    </a:prstGeom>
                  </pic:spPr>
                </pic:pic>
              </a:graphicData>
            </a:graphic>
          </wp:inline>
        </w:drawing>
      </w:r>
    </w:p>
    <w:p w14:paraId="131A5BF9" w14:textId="7173C013" w:rsidR="0025403B" w:rsidRDefault="00D51CA1" w:rsidP="0025403B">
      <w:pPr>
        <w:pStyle w:val="CETCaption"/>
      </w:pPr>
      <w:r>
        <w:t xml:space="preserve">Figure </w:t>
      </w:r>
      <w:r>
        <w:fldChar w:fldCharType="begin"/>
      </w:r>
      <w:r>
        <w:instrText xml:space="preserve"> SEQ Figure \* ARABIC </w:instrText>
      </w:r>
      <w:r>
        <w:fldChar w:fldCharType="separate"/>
      </w:r>
      <w:r w:rsidR="0025403B">
        <w:rPr>
          <w:noProof/>
        </w:rPr>
        <w:t>3</w:t>
      </w:r>
      <w:r>
        <w:fldChar w:fldCharType="end"/>
      </w:r>
      <w:r>
        <w:t>: Tar conversion performance as a function of temperature</w:t>
      </w:r>
      <w:r w:rsidR="00F670FA">
        <w:t xml:space="preserve"> (Tests #1 to #6: </w:t>
      </w:r>
      <w:r>
        <w:t>tar content = 13.7 g/Nm</w:t>
      </w:r>
      <w:r w:rsidRPr="00D51CA1">
        <w:rPr>
          <w:vertAlign w:val="superscript"/>
        </w:rPr>
        <w:t>3</w:t>
      </w:r>
      <w:r>
        <w:t>; H</w:t>
      </w:r>
      <w:r w:rsidRPr="00D51CA1">
        <w:rPr>
          <w:vertAlign w:val="subscript"/>
        </w:rPr>
        <w:t>2</w:t>
      </w:r>
      <w:r>
        <w:t>S</w:t>
      </w:r>
      <w:r w:rsidRPr="00D51CA1">
        <w:rPr>
          <w:vertAlign w:val="subscript"/>
        </w:rPr>
        <w:t>eq</w:t>
      </w:r>
      <w:r>
        <w:t xml:space="preserve"> = 50 </w:t>
      </w:r>
      <w:proofErr w:type="spellStart"/>
      <w:r>
        <w:t>ppm</w:t>
      </w:r>
      <w:r w:rsidR="001E1AFA">
        <w:t>v</w:t>
      </w:r>
      <w:proofErr w:type="spellEnd"/>
      <w:r>
        <w:t>; GHSV = 6000 h</w:t>
      </w:r>
      <w:r w:rsidRPr="00D51CA1">
        <w:rPr>
          <w:vertAlign w:val="superscript"/>
        </w:rPr>
        <w:t>-1</w:t>
      </w:r>
      <w:r>
        <w:t>)</w:t>
      </w:r>
      <w:r w:rsidR="0032139F">
        <w:t>.</w:t>
      </w:r>
    </w:p>
    <w:p w14:paraId="382D1E79" w14:textId="77777777" w:rsidR="00CC0853" w:rsidRDefault="00CC0853" w:rsidP="00CC0853">
      <w:pPr>
        <w:pStyle w:val="CETBodytext"/>
        <w:spacing w:line="240" w:lineRule="auto"/>
        <w:rPr>
          <w:rFonts w:cs="Arial"/>
          <w:lang w:val="en-GB" w:eastAsia="de-DE" w:bidi="en-US"/>
        </w:rPr>
      </w:pPr>
      <w:r w:rsidRPr="00470175">
        <w:rPr>
          <w:rFonts w:cs="Arial"/>
          <w:lang w:val="en-GB" w:eastAsia="de-DE" w:bidi="en-US"/>
        </w:rPr>
        <w:lastRenderedPageBreak/>
        <w:t>In contrast, the new catalyst demonstrates greater efficiency. Notably, it consistently achieves a 100% conversion rate in each test, without being affected by any sulphur inhibition effects. This highlights the independence of its conversion performance from temperature under the tested process conditions.</w:t>
      </w:r>
      <w:r>
        <w:rPr>
          <w:rFonts w:cs="Arial"/>
          <w:lang w:val="en-GB" w:eastAsia="de-DE" w:bidi="en-US"/>
        </w:rPr>
        <w:t xml:space="preserve"> This behaviour can be explained by the relatively high surface area of C&amp;CS #1050 B, that was adjusted in the inventive production process by synthesizing a high surface area support material and adjusting a high </w:t>
      </w:r>
      <w:proofErr w:type="spellStart"/>
      <w:r>
        <w:rPr>
          <w:rFonts w:cs="Arial"/>
          <w:lang w:val="en-GB" w:eastAsia="de-DE" w:bidi="en-US"/>
        </w:rPr>
        <w:t>NiO</w:t>
      </w:r>
      <w:proofErr w:type="spellEnd"/>
      <w:r>
        <w:rPr>
          <w:rFonts w:cs="Arial"/>
          <w:lang w:val="en-GB" w:eastAsia="de-DE" w:bidi="en-US"/>
        </w:rPr>
        <w:t xml:space="preserve"> loading at a high </w:t>
      </w:r>
      <w:proofErr w:type="spellStart"/>
      <w:r>
        <w:rPr>
          <w:rFonts w:cs="Arial"/>
          <w:lang w:val="en-GB" w:eastAsia="de-DE" w:bidi="en-US"/>
        </w:rPr>
        <w:t>NiO</w:t>
      </w:r>
      <w:proofErr w:type="spellEnd"/>
      <w:r>
        <w:rPr>
          <w:rFonts w:cs="Arial"/>
          <w:lang w:val="en-GB" w:eastAsia="de-DE" w:bidi="en-US"/>
        </w:rPr>
        <w:t xml:space="preserve"> dispersion. In the presence of 50 </w:t>
      </w:r>
      <w:proofErr w:type="spellStart"/>
      <w:r>
        <w:rPr>
          <w:rFonts w:cs="Arial"/>
          <w:lang w:val="en-GB" w:eastAsia="de-DE" w:bidi="en-US"/>
        </w:rPr>
        <w:t>ppmv</w:t>
      </w:r>
      <w:proofErr w:type="spellEnd"/>
      <w:r>
        <w:rPr>
          <w:rFonts w:cs="Arial"/>
          <w:lang w:val="en-GB" w:eastAsia="de-DE" w:bidi="en-US"/>
        </w:rPr>
        <w:t xml:space="preserve"> H</w:t>
      </w:r>
      <w:r w:rsidRPr="00CC0853">
        <w:rPr>
          <w:rFonts w:cs="Arial"/>
          <w:vertAlign w:val="subscript"/>
          <w:lang w:eastAsia="de-DE" w:bidi="en-US"/>
        </w:rPr>
        <w:t>2</w:t>
      </w:r>
      <w:r>
        <w:rPr>
          <w:rFonts w:cs="Arial"/>
          <w:lang w:val="en-GB" w:eastAsia="de-DE" w:bidi="en-US"/>
        </w:rPr>
        <w:t>S, where H</w:t>
      </w:r>
      <w:r w:rsidRPr="00CC0853">
        <w:rPr>
          <w:rFonts w:cs="Arial"/>
          <w:vertAlign w:val="subscript"/>
          <w:lang w:eastAsia="de-DE" w:bidi="en-US"/>
        </w:rPr>
        <w:t>2</w:t>
      </w:r>
      <w:r>
        <w:rPr>
          <w:rFonts w:cs="Arial"/>
          <w:lang w:val="en-GB" w:eastAsia="de-DE" w:bidi="en-US"/>
        </w:rPr>
        <w:t xml:space="preserve">S adsorption on Ni active sites can occur to a certain extent to achieve an equilibrium, C&amp;CS #1050 B evidently provides still a remaining sufficiently high active surface area to convert 100% of the tars. </w:t>
      </w:r>
    </w:p>
    <w:p w14:paraId="3E316FEA" w14:textId="24D3D1A9" w:rsidR="00F66BAC" w:rsidRDefault="006D4063" w:rsidP="006D4063">
      <w:pPr>
        <w:pStyle w:val="CETBodytext"/>
        <w:rPr>
          <w:lang w:eastAsia="de-DE" w:bidi="en-US"/>
        </w:rPr>
      </w:pPr>
      <w:r>
        <w:rPr>
          <w:lang w:eastAsia="de-DE" w:bidi="en-US"/>
        </w:rPr>
        <w:t>F</w:t>
      </w:r>
      <w:r w:rsidR="00F66BAC" w:rsidRPr="0025403B">
        <w:rPr>
          <w:lang w:eastAsia="de-DE" w:bidi="en-US"/>
        </w:rPr>
        <w:t xml:space="preserve">urther tests were conducted to assess the performance of the new catalyst under worst conditions by increasing the GHSV </w:t>
      </w:r>
      <w:r w:rsidR="00D51CA1" w:rsidRPr="0025403B">
        <w:rPr>
          <w:lang w:eastAsia="de-DE" w:bidi="en-US"/>
        </w:rPr>
        <w:t>and</w:t>
      </w:r>
      <w:r w:rsidR="00F66BAC" w:rsidRPr="0025403B">
        <w:rPr>
          <w:lang w:eastAsia="de-DE" w:bidi="en-US"/>
        </w:rPr>
        <w:t xml:space="preserve"> the H</w:t>
      </w:r>
      <w:r w:rsidR="00F66BAC" w:rsidRPr="0025403B">
        <w:rPr>
          <w:vertAlign w:val="subscript"/>
          <w:lang w:eastAsia="de-DE" w:bidi="en-US"/>
        </w:rPr>
        <w:t>2</w:t>
      </w:r>
      <w:r w:rsidR="00F66BAC" w:rsidRPr="0025403B">
        <w:rPr>
          <w:lang w:eastAsia="de-DE" w:bidi="en-US"/>
        </w:rPr>
        <w:t>S content.</w:t>
      </w:r>
    </w:p>
    <w:p w14:paraId="6CFE8FCE" w14:textId="77777777" w:rsidR="006D4063" w:rsidRPr="0025403B" w:rsidRDefault="006D4063" w:rsidP="006D4063">
      <w:pPr>
        <w:pStyle w:val="CETBodytext"/>
        <w:rPr>
          <w:lang w:eastAsia="de-DE" w:bidi="en-US"/>
        </w:rPr>
      </w:pPr>
    </w:p>
    <w:p w14:paraId="54E69572" w14:textId="5CFD927C" w:rsidR="00D51CA1" w:rsidRDefault="00D51CA1" w:rsidP="005617A4">
      <w:pPr>
        <w:pStyle w:val="CETBodytext"/>
        <w:keepNext/>
        <w:spacing w:line="360" w:lineRule="auto"/>
        <w:rPr>
          <w:rFonts w:cs="Arial"/>
          <w:lang w:val="en-GB" w:eastAsia="de-DE" w:bidi="en-US"/>
        </w:rPr>
      </w:pPr>
      <w:r>
        <w:rPr>
          <w:rFonts w:cs="Arial"/>
          <w:noProof/>
          <w:lang w:val="en-GB" w:eastAsia="de-DE" w:bidi="en-US"/>
        </w:rPr>
        <w:drawing>
          <wp:inline distT="0" distB="0" distL="0" distR="0" wp14:anchorId="2AD41E37" wp14:editId="6F81C348">
            <wp:extent cx="4823983" cy="3215307"/>
            <wp:effectExtent l="0" t="0" r="0" b="4445"/>
            <wp:docPr id="8743375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37504" name="Immagin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23983" cy="3215307"/>
                    </a:xfrm>
                    <a:prstGeom prst="rect">
                      <a:avLst/>
                    </a:prstGeom>
                  </pic:spPr>
                </pic:pic>
              </a:graphicData>
            </a:graphic>
          </wp:inline>
        </w:drawing>
      </w:r>
    </w:p>
    <w:p w14:paraId="7B08CF59" w14:textId="794E7DE0" w:rsidR="00435254" w:rsidRDefault="005617A4" w:rsidP="005617A4">
      <w:pPr>
        <w:pStyle w:val="CETCaption"/>
      </w:pPr>
      <w:bookmarkStart w:id="3" w:name="_Ref153877936"/>
      <w:r w:rsidRPr="00AB389D">
        <w:t xml:space="preserve">Figure </w:t>
      </w:r>
      <w:r w:rsidRPr="00AB389D">
        <w:fldChar w:fldCharType="begin"/>
      </w:r>
      <w:r w:rsidRPr="00AB389D">
        <w:instrText xml:space="preserve"> SEQ Figure \* ARABIC </w:instrText>
      </w:r>
      <w:r w:rsidRPr="00AB389D">
        <w:fldChar w:fldCharType="separate"/>
      </w:r>
      <w:r w:rsidR="0025403B" w:rsidRPr="00AB389D">
        <w:rPr>
          <w:noProof/>
        </w:rPr>
        <w:t>4</w:t>
      </w:r>
      <w:r w:rsidRPr="00AB389D">
        <w:fldChar w:fldCharType="end"/>
      </w:r>
      <w:bookmarkEnd w:id="3"/>
      <w:r w:rsidRPr="00AB389D">
        <w:t>. Novel catalyst performance a</w:t>
      </w:r>
      <w:r w:rsidR="00C70DD3" w:rsidRPr="00AB389D">
        <w:t>s function of</w:t>
      </w:r>
      <w:r w:rsidRPr="00AB389D">
        <w:t xml:space="preserve"> temperatures </w:t>
      </w:r>
      <w:r w:rsidR="00C70DD3" w:rsidRPr="00AB389D">
        <w:t xml:space="preserve">at different conditions </w:t>
      </w:r>
      <w:r w:rsidR="00F670FA" w:rsidRPr="00AB389D">
        <w:t xml:space="preserve">(Tests #7, #8 and #9: </w:t>
      </w:r>
      <w:r w:rsidRPr="00AB389D">
        <w:t>tar content = 13.7 g/Nm</w:t>
      </w:r>
      <w:r w:rsidRPr="00AB389D">
        <w:rPr>
          <w:vertAlign w:val="superscript"/>
        </w:rPr>
        <w:t>3</w:t>
      </w:r>
      <w:r w:rsidRPr="00AB389D">
        <w:t>, H</w:t>
      </w:r>
      <w:r w:rsidRPr="00AB389D">
        <w:rPr>
          <w:vertAlign w:val="subscript"/>
        </w:rPr>
        <w:t>2</w:t>
      </w:r>
      <w:r w:rsidRPr="00AB389D">
        <w:t>S</w:t>
      </w:r>
      <w:r w:rsidRPr="00AB389D">
        <w:rPr>
          <w:vertAlign w:val="subscript"/>
        </w:rPr>
        <w:t>eq</w:t>
      </w:r>
      <w:r w:rsidRPr="00AB389D">
        <w:t xml:space="preserve"> = 50 </w:t>
      </w:r>
      <w:proofErr w:type="spellStart"/>
      <w:r w:rsidRPr="00AB389D">
        <w:t>ppm</w:t>
      </w:r>
      <w:r w:rsidR="001E1AFA">
        <w:t>v</w:t>
      </w:r>
      <w:proofErr w:type="spellEnd"/>
      <w:r w:rsidRPr="00AB389D">
        <w:t xml:space="preserve">; GHSV = </w:t>
      </w:r>
      <w:r w:rsidR="00F670FA" w:rsidRPr="00AB389D">
        <w:t>13</w:t>
      </w:r>
      <w:r w:rsidRPr="00AB389D">
        <w:t>000 h</w:t>
      </w:r>
      <w:r w:rsidRPr="00AB389D">
        <w:rPr>
          <w:vertAlign w:val="superscript"/>
        </w:rPr>
        <w:t>-1</w:t>
      </w:r>
      <w:r w:rsidR="00F670FA" w:rsidRPr="00AB389D">
        <w:t>; Tests #10, #11 and #12: tar content = 13.7 g/Nm</w:t>
      </w:r>
      <w:r w:rsidR="00F670FA" w:rsidRPr="00AB389D">
        <w:rPr>
          <w:vertAlign w:val="superscript"/>
        </w:rPr>
        <w:t>3</w:t>
      </w:r>
      <w:r w:rsidR="00F670FA" w:rsidRPr="00AB389D">
        <w:t>, H</w:t>
      </w:r>
      <w:r w:rsidR="00F670FA" w:rsidRPr="00AB389D">
        <w:rPr>
          <w:vertAlign w:val="subscript"/>
        </w:rPr>
        <w:t>2</w:t>
      </w:r>
      <w:r w:rsidR="00F670FA" w:rsidRPr="00AB389D">
        <w:t>S</w:t>
      </w:r>
      <w:r w:rsidR="00F670FA" w:rsidRPr="00AB389D">
        <w:rPr>
          <w:vertAlign w:val="subscript"/>
        </w:rPr>
        <w:t>eq</w:t>
      </w:r>
      <w:r w:rsidR="00F670FA" w:rsidRPr="00AB389D">
        <w:t xml:space="preserve"> = 100 </w:t>
      </w:r>
      <w:proofErr w:type="spellStart"/>
      <w:r w:rsidR="00F670FA" w:rsidRPr="00AB389D">
        <w:t>ppm</w:t>
      </w:r>
      <w:r w:rsidR="001E1AFA">
        <w:t>v</w:t>
      </w:r>
      <w:proofErr w:type="spellEnd"/>
      <w:r w:rsidR="00F670FA" w:rsidRPr="00AB389D">
        <w:t>; GHSV = 6000 h</w:t>
      </w:r>
      <w:r w:rsidR="00F670FA" w:rsidRPr="00AB389D">
        <w:rPr>
          <w:vertAlign w:val="superscript"/>
        </w:rPr>
        <w:t>-1</w:t>
      </w:r>
      <w:r w:rsidR="00F670FA" w:rsidRPr="00AB389D">
        <w:t>)</w:t>
      </w:r>
    </w:p>
    <w:p w14:paraId="28A97CC0" w14:textId="6B81065C" w:rsidR="00C70DD3" w:rsidRDefault="001E1AFA" w:rsidP="00453E24">
      <w:pPr>
        <w:pStyle w:val="CETBodytext"/>
        <w:rPr>
          <w:rFonts w:cs="Arial"/>
          <w:lang w:val="en-GB" w:eastAsia="de-DE" w:bidi="en-US"/>
        </w:rPr>
      </w:pPr>
      <w:r>
        <w:rPr>
          <w:rFonts w:cs="Arial"/>
          <w:lang w:val="en-GB" w:eastAsia="de-DE" w:bidi="en-US"/>
        </w:rPr>
        <w:t>More than d</w:t>
      </w:r>
      <w:r w:rsidR="00C70DD3" w:rsidRPr="00C70DD3">
        <w:rPr>
          <w:rFonts w:cs="Arial"/>
          <w:lang w:val="en-GB" w:eastAsia="de-DE" w:bidi="en-US"/>
        </w:rPr>
        <w:t xml:space="preserve">oubling the GHSV </w:t>
      </w:r>
      <w:r w:rsidR="00410068">
        <w:rPr>
          <w:rFonts w:cs="Arial"/>
          <w:lang w:val="en-GB" w:eastAsia="de-DE" w:bidi="en-US"/>
        </w:rPr>
        <w:t>leads to a reduc</w:t>
      </w:r>
      <w:r>
        <w:rPr>
          <w:rFonts w:cs="Arial"/>
          <w:lang w:val="en-GB" w:eastAsia="de-DE" w:bidi="en-US"/>
        </w:rPr>
        <w:t>ed</w:t>
      </w:r>
      <w:r w:rsidR="00410068">
        <w:rPr>
          <w:rFonts w:cs="Arial"/>
          <w:lang w:val="en-GB" w:eastAsia="de-DE" w:bidi="en-US"/>
        </w:rPr>
        <w:t xml:space="preserve"> </w:t>
      </w:r>
      <w:r w:rsidR="00C70DD3" w:rsidRPr="00C70DD3">
        <w:rPr>
          <w:rFonts w:cs="Arial"/>
          <w:lang w:val="en-GB" w:eastAsia="de-DE" w:bidi="en-US"/>
        </w:rPr>
        <w:t>catalyst performance</w:t>
      </w:r>
      <w:r w:rsidR="00C70DD3">
        <w:rPr>
          <w:rFonts w:cs="Arial"/>
          <w:lang w:val="en-GB" w:eastAsia="de-DE" w:bidi="en-US"/>
        </w:rPr>
        <w:t xml:space="preserve"> due to the reduced residence time</w:t>
      </w:r>
      <w:r w:rsidR="00747BD0">
        <w:rPr>
          <w:rFonts w:cs="Arial"/>
          <w:lang w:val="en-GB" w:eastAsia="de-DE" w:bidi="en-US"/>
        </w:rPr>
        <w:t xml:space="preserve"> </w:t>
      </w:r>
      <w:r w:rsidR="00410068">
        <w:rPr>
          <w:rFonts w:cs="Arial"/>
          <w:lang w:val="en-GB" w:eastAsia="de-DE" w:bidi="en-US"/>
        </w:rPr>
        <w:t xml:space="preserve">as reported in </w:t>
      </w:r>
      <w:r w:rsidR="00747BD0">
        <w:rPr>
          <w:rFonts w:cs="Arial"/>
          <w:lang w:val="en-GB" w:eastAsia="de-DE" w:bidi="en-US"/>
        </w:rPr>
        <w:fldChar w:fldCharType="begin"/>
      </w:r>
      <w:r w:rsidR="00747BD0">
        <w:rPr>
          <w:rFonts w:cs="Arial"/>
          <w:lang w:val="en-GB" w:eastAsia="de-DE" w:bidi="en-US"/>
        </w:rPr>
        <w:instrText xml:space="preserve"> REF _Ref153877936 \h </w:instrText>
      </w:r>
      <w:r w:rsidR="00747BD0">
        <w:rPr>
          <w:rFonts w:cs="Arial"/>
          <w:lang w:val="en-GB" w:eastAsia="de-DE" w:bidi="en-US"/>
        </w:rPr>
      </w:r>
      <w:r w:rsidR="00747BD0">
        <w:rPr>
          <w:rFonts w:cs="Arial"/>
          <w:lang w:val="en-GB" w:eastAsia="de-DE" w:bidi="en-US"/>
        </w:rPr>
        <w:fldChar w:fldCharType="separate"/>
      </w:r>
      <w:r w:rsidR="00747BD0">
        <w:t xml:space="preserve">Figure </w:t>
      </w:r>
      <w:r w:rsidR="00747BD0">
        <w:rPr>
          <w:noProof/>
        </w:rPr>
        <w:t>4</w:t>
      </w:r>
      <w:r w:rsidR="00747BD0">
        <w:rPr>
          <w:rFonts w:cs="Arial"/>
          <w:lang w:val="en-GB" w:eastAsia="de-DE" w:bidi="en-US"/>
        </w:rPr>
        <w:fldChar w:fldCharType="end"/>
      </w:r>
      <w:r w:rsidR="00C70DD3" w:rsidRPr="00C70DD3">
        <w:rPr>
          <w:rFonts w:cs="Arial"/>
          <w:lang w:val="en-GB" w:eastAsia="de-DE" w:bidi="en-US"/>
        </w:rPr>
        <w:t xml:space="preserve">. Nevertheless, the </w:t>
      </w:r>
      <w:r w:rsidR="00410068">
        <w:rPr>
          <w:rFonts w:cs="Arial"/>
          <w:lang w:val="en-GB" w:eastAsia="de-DE" w:bidi="en-US"/>
        </w:rPr>
        <w:t xml:space="preserve">obtained </w:t>
      </w:r>
      <w:r w:rsidR="00C70DD3" w:rsidRPr="00C70DD3">
        <w:rPr>
          <w:rFonts w:cs="Arial"/>
          <w:lang w:val="en-GB" w:eastAsia="de-DE" w:bidi="en-US"/>
        </w:rPr>
        <w:t xml:space="preserve">conversion </w:t>
      </w:r>
      <w:r w:rsidR="00410068">
        <w:rPr>
          <w:rFonts w:cs="Arial"/>
          <w:lang w:val="en-GB" w:eastAsia="de-DE" w:bidi="en-US"/>
        </w:rPr>
        <w:t xml:space="preserve">rates </w:t>
      </w:r>
      <w:r w:rsidR="00C70DD3" w:rsidRPr="00C70DD3">
        <w:rPr>
          <w:rFonts w:cs="Arial"/>
          <w:lang w:val="en-GB" w:eastAsia="de-DE" w:bidi="en-US"/>
        </w:rPr>
        <w:t xml:space="preserve">remain higher than </w:t>
      </w:r>
      <w:r w:rsidR="00410068">
        <w:rPr>
          <w:rFonts w:cs="Arial"/>
          <w:lang w:val="en-GB" w:eastAsia="de-DE" w:bidi="en-US"/>
        </w:rPr>
        <w:t>those achieved by</w:t>
      </w:r>
      <w:r w:rsidR="00C70DD3" w:rsidRPr="00C70DD3">
        <w:rPr>
          <w:rFonts w:cs="Arial"/>
          <w:lang w:val="en-GB" w:eastAsia="de-DE" w:bidi="en-US"/>
        </w:rPr>
        <w:t xml:space="preserve"> the commercial catalyst, reaching nearly 100% at 800 °C and exceeding 95% at 750 °C.</w:t>
      </w:r>
    </w:p>
    <w:p w14:paraId="0907EFCC" w14:textId="05ED53E0" w:rsidR="00910232" w:rsidRDefault="00747BD0" w:rsidP="00453E24">
      <w:pPr>
        <w:pStyle w:val="CETBodytext"/>
        <w:rPr>
          <w:rFonts w:cs="Arial"/>
          <w:lang w:val="en-GB" w:eastAsia="de-DE" w:bidi="en-US"/>
        </w:rPr>
      </w:pPr>
      <w:r>
        <w:rPr>
          <w:rFonts w:cs="Arial"/>
          <w:lang w:val="en-GB" w:eastAsia="de-DE" w:bidi="en-US"/>
        </w:rPr>
        <w:t xml:space="preserve">Figure 4 also </w:t>
      </w:r>
      <w:r w:rsidR="00410068">
        <w:rPr>
          <w:rFonts w:cs="Arial"/>
          <w:lang w:val="en-GB" w:eastAsia="de-DE" w:bidi="en-US"/>
        </w:rPr>
        <w:t>presents</w:t>
      </w:r>
      <w:r>
        <w:rPr>
          <w:rFonts w:cs="Arial"/>
          <w:lang w:val="en-GB" w:eastAsia="de-DE" w:bidi="en-US"/>
        </w:rPr>
        <w:t xml:space="preserve"> the</w:t>
      </w:r>
      <w:r w:rsidR="004D37B6">
        <w:rPr>
          <w:rFonts w:cs="Arial"/>
          <w:lang w:val="en-GB" w:eastAsia="de-DE" w:bidi="en-US"/>
        </w:rPr>
        <w:t xml:space="preserve"> test</w:t>
      </w:r>
      <w:r>
        <w:rPr>
          <w:rFonts w:cs="Arial"/>
          <w:lang w:val="en-GB" w:eastAsia="de-DE" w:bidi="en-US"/>
        </w:rPr>
        <w:t xml:space="preserve"> results with 100 </w:t>
      </w:r>
      <w:proofErr w:type="spellStart"/>
      <w:r w:rsidR="006D4063">
        <w:rPr>
          <w:rFonts w:cs="Arial"/>
          <w:lang w:val="en-GB" w:eastAsia="de-DE" w:bidi="en-US"/>
        </w:rPr>
        <w:t>ppm</w:t>
      </w:r>
      <w:r w:rsidR="001E1AFA">
        <w:rPr>
          <w:rFonts w:cs="Arial"/>
          <w:lang w:val="en-GB" w:eastAsia="de-DE" w:bidi="en-US"/>
        </w:rPr>
        <w:t>v</w:t>
      </w:r>
      <w:proofErr w:type="spellEnd"/>
      <w:r w:rsidR="006D4063">
        <w:rPr>
          <w:rFonts w:cs="Arial"/>
          <w:lang w:val="en-GB" w:eastAsia="de-DE" w:bidi="en-US"/>
        </w:rPr>
        <w:t xml:space="preserve"> </w:t>
      </w:r>
      <w:r w:rsidR="004D37B6">
        <w:rPr>
          <w:rFonts w:cs="Arial"/>
          <w:lang w:val="en-GB" w:eastAsia="de-DE" w:bidi="en-US"/>
        </w:rPr>
        <w:t>H</w:t>
      </w:r>
      <w:r w:rsidR="004D37B6" w:rsidRPr="008160A8">
        <w:rPr>
          <w:rFonts w:cs="Arial"/>
          <w:vertAlign w:val="subscript"/>
          <w:lang w:val="en-GB" w:eastAsia="de-DE" w:bidi="en-US"/>
        </w:rPr>
        <w:t>2</w:t>
      </w:r>
      <w:r w:rsidR="004D37B6">
        <w:rPr>
          <w:rFonts w:cs="Arial"/>
          <w:lang w:val="en-GB" w:eastAsia="de-DE" w:bidi="en-US"/>
        </w:rPr>
        <w:t xml:space="preserve">S </w:t>
      </w:r>
      <w:r>
        <w:rPr>
          <w:rFonts w:cs="Arial"/>
          <w:lang w:val="en-GB" w:eastAsia="de-DE" w:bidi="en-US"/>
        </w:rPr>
        <w:t xml:space="preserve">equivalent. The conversion is </w:t>
      </w:r>
      <w:r w:rsidR="00410068">
        <w:rPr>
          <w:rFonts w:cs="Arial"/>
          <w:lang w:val="en-GB" w:eastAsia="de-DE" w:bidi="en-US"/>
        </w:rPr>
        <w:t>consistently</w:t>
      </w:r>
      <w:r>
        <w:rPr>
          <w:rFonts w:cs="Arial"/>
          <w:lang w:val="en-GB" w:eastAsia="de-DE" w:bidi="en-US"/>
        </w:rPr>
        <w:t xml:space="preserve"> close to 100 %, showing </w:t>
      </w:r>
      <w:r w:rsidR="004D37B6">
        <w:rPr>
          <w:rFonts w:cs="Arial"/>
          <w:lang w:val="en-GB" w:eastAsia="de-DE" w:bidi="en-US"/>
        </w:rPr>
        <w:t xml:space="preserve">no </w:t>
      </w:r>
      <w:r>
        <w:rPr>
          <w:rFonts w:cs="Arial"/>
          <w:lang w:val="en-GB" w:eastAsia="de-DE" w:bidi="en-US"/>
        </w:rPr>
        <w:t>deactivation effect</w:t>
      </w:r>
      <w:r w:rsidR="004D37B6">
        <w:rPr>
          <w:rFonts w:cs="Arial"/>
          <w:lang w:val="en-GB" w:eastAsia="de-DE" w:bidi="en-US"/>
        </w:rPr>
        <w:t>s</w:t>
      </w:r>
      <w:r>
        <w:rPr>
          <w:rFonts w:cs="Arial"/>
          <w:lang w:val="en-GB" w:eastAsia="de-DE" w:bidi="en-US"/>
        </w:rPr>
        <w:t xml:space="preserve"> </w:t>
      </w:r>
      <w:r w:rsidR="00410068">
        <w:rPr>
          <w:rFonts w:cs="Arial"/>
          <w:lang w:val="en-GB" w:eastAsia="de-DE" w:bidi="en-US"/>
        </w:rPr>
        <w:t>even</w:t>
      </w:r>
      <w:r>
        <w:rPr>
          <w:rFonts w:cs="Arial"/>
          <w:lang w:val="en-GB" w:eastAsia="de-DE" w:bidi="en-US"/>
        </w:rPr>
        <w:t xml:space="preserve"> at a relative</w:t>
      </w:r>
      <w:r w:rsidR="00AD54A4">
        <w:rPr>
          <w:rFonts w:cs="Arial"/>
          <w:lang w:val="en-GB" w:eastAsia="de-DE" w:bidi="en-US"/>
        </w:rPr>
        <w:t>ly</w:t>
      </w:r>
      <w:r>
        <w:rPr>
          <w:rFonts w:cs="Arial"/>
          <w:lang w:val="en-GB" w:eastAsia="de-DE" w:bidi="en-US"/>
        </w:rPr>
        <w:t xml:space="preserve"> low temperature of 650 °C.</w:t>
      </w:r>
    </w:p>
    <w:p w14:paraId="47B09D92" w14:textId="4039878C" w:rsidR="00747BD0" w:rsidRDefault="00630C37" w:rsidP="00453E24">
      <w:pPr>
        <w:pStyle w:val="CETBodytext"/>
        <w:rPr>
          <w:rFonts w:cs="Arial"/>
          <w:lang w:val="en-GB" w:eastAsia="de-DE" w:bidi="en-US"/>
        </w:rPr>
      </w:pPr>
      <w:r w:rsidRPr="00630C37">
        <w:rPr>
          <w:rFonts w:cs="Arial"/>
          <w:lang w:val="en-GB" w:eastAsia="de-DE" w:bidi="en-US"/>
        </w:rPr>
        <w:t xml:space="preserve">Furthermore, the composition and flow rate of the </w:t>
      </w:r>
      <w:r>
        <w:rPr>
          <w:rFonts w:cs="Arial"/>
          <w:lang w:val="en-GB" w:eastAsia="de-DE" w:bidi="en-US"/>
        </w:rPr>
        <w:t>outgoing</w:t>
      </w:r>
      <w:r w:rsidRPr="00630C37">
        <w:rPr>
          <w:rFonts w:cs="Arial"/>
          <w:lang w:val="en-GB" w:eastAsia="de-DE" w:bidi="en-US"/>
        </w:rPr>
        <w:t xml:space="preserve"> gas remained sufficiently stable throughout the tests, without </w:t>
      </w:r>
      <w:r>
        <w:rPr>
          <w:rFonts w:cs="Arial"/>
          <w:lang w:val="en-GB" w:eastAsia="de-DE" w:bidi="en-US"/>
        </w:rPr>
        <w:t>evidence of</w:t>
      </w:r>
      <w:r w:rsidRPr="00630C37">
        <w:rPr>
          <w:rFonts w:cs="Arial"/>
          <w:lang w:val="en-GB" w:eastAsia="de-DE" w:bidi="en-US"/>
        </w:rPr>
        <w:t xml:space="preserve"> catalyst deactivation effects attributed to carbon deposition. This </w:t>
      </w:r>
      <w:r>
        <w:rPr>
          <w:rFonts w:cs="Arial"/>
          <w:lang w:val="en-GB" w:eastAsia="de-DE" w:bidi="en-US"/>
        </w:rPr>
        <w:t>result</w:t>
      </w:r>
      <w:r w:rsidRPr="00630C37">
        <w:rPr>
          <w:rFonts w:cs="Arial"/>
          <w:lang w:val="en-GB" w:eastAsia="de-DE" w:bidi="en-US"/>
        </w:rPr>
        <w:t xml:space="preserve"> aligns with expectations considering the high S/C ratio </w:t>
      </w:r>
      <w:r>
        <w:rPr>
          <w:rFonts w:cs="Arial"/>
          <w:lang w:val="en-GB" w:eastAsia="de-DE" w:bidi="en-US"/>
        </w:rPr>
        <w:t>used</w:t>
      </w:r>
      <w:r w:rsidRPr="00630C37">
        <w:rPr>
          <w:rFonts w:cs="Arial"/>
          <w:lang w:val="en-GB" w:eastAsia="de-DE" w:bidi="en-US"/>
        </w:rPr>
        <w:t xml:space="preserve"> in the test (approximately 19)</w:t>
      </w:r>
      <w:r w:rsidR="00F83D5C">
        <w:rPr>
          <w:rFonts w:cs="Arial"/>
          <w:lang w:val="en-GB" w:eastAsia="de-DE" w:bidi="en-US"/>
        </w:rPr>
        <w:t xml:space="preserve"> </w:t>
      </w:r>
      <w:sdt>
        <w:sdtPr>
          <w:rPr>
            <w:rFonts w:cs="Arial"/>
            <w:color w:val="000000"/>
            <w:lang w:val="en-GB" w:eastAsia="de-DE" w:bidi="en-US"/>
          </w:rPr>
          <w:tag w:val="MENDELEY_CITATION_v3_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"/>
          <w:id w:val="-440768011"/>
          <w:placeholder>
            <w:docPart w:val="DefaultPlaceholder_-1854013440"/>
          </w:placeholder>
        </w:sdtPr>
        <w:sdtEndPr/>
        <w:sdtContent>
          <w:r w:rsidR="00F83D5C" w:rsidRPr="00CC0853">
            <w:rPr>
              <w:rFonts w:cs="Arial"/>
              <w:color w:val="000000"/>
              <w:lang w:val="en-GB" w:eastAsia="de-DE" w:bidi="en-US"/>
            </w:rPr>
            <w:t>(Cao et al., 2018)</w:t>
          </w:r>
        </w:sdtContent>
      </w:sdt>
      <w:r w:rsidRPr="00630C37">
        <w:rPr>
          <w:rFonts w:cs="Arial"/>
          <w:lang w:val="en-GB" w:eastAsia="de-DE" w:bidi="en-US"/>
        </w:rPr>
        <w:t>.</w:t>
      </w:r>
    </w:p>
    <w:p w14:paraId="443DC0AA" w14:textId="1587F80D" w:rsidR="00F41B57" w:rsidRDefault="00EF606D" w:rsidP="00453E24">
      <w:pPr>
        <w:pStyle w:val="CETBodytext"/>
        <w:rPr>
          <w:rFonts w:cs="Arial"/>
          <w:lang w:val="en-GB" w:eastAsia="de-DE" w:bidi="en-US"/>
        </w:rPr>
      </w:pPr>
      <w:r>
        <w:rPr>
          <w:rFonts w:cs="Arial"/>
          <w:lang w:val="en-GB" w:eastAsia="de-DE" w:bidi="en-US"/>
        </w:rPr>
        <w:t xml:space="preserve">These results represent a substantial improvement </w:t>
      </w:r>
      <w:r w:rsidR="004D37B6">
        <w:rPr>
          <w:rFonts w:cs="Arial"/>
          <w:lang w:val="en-GB" w:eastAsia="de-DE" w:bidi="en-US"/>
        </w:rPr>
        <w:t>in reforming at</w:t>
      </w:r>
      <w:r>
        <w:rPr>
          <w:rFonts w:cs="Arial"/>
          <w:lang w:val="en-GB" w:eastAsia="de-DE" w:bidi="en-US"/>
        </w:rPr>
        <w:t xml:space="preserve"> </w:t>
      </w:r>
      <w:r w:rsidR="001E1AFA">
        <w:rPr>
          <w:rFonts w:cs="Arial"/>
          <w:lang w:val="en-GB" w:eastAsia="de-DE" w:bidi="en-US"/>
        </w:rPr>
        <w:t xml:space="preserve">a </w:t>
      </w:r>
      <w:r>
        <w:rPr>
          <w:rFonts w:cs="Arial"/>
          <w:lang w:val="en-GB" w:eastAsia="de-DE" w:bidi="en-US"/>
        </w:rPr>
        <w:t xml:space="preserve">relatively high tar content. Previous tests </w:t>
      </w:r>
      <w:r w:rsidR="00410068">
        <w:rPr>
          <w:rFonts w:cs="Arial"/>
          <w:lang w:val="en-GB" w:eastAsia="de-DE" w:bidi="en-US"/>
        </w:rPr>
        <w:t>on</w:t>
      </w:r>
      <w:r>
        <w:rPr>
          <w:rFonts w:cs="Arial"/>
          <w:lang w:val="en-GB" w:eastAsia="de-DE" w:bidi="en-US"/>
        </w:rPr>
        <w:t xml:space="preserve"> the</w:t>
      </w:r>
      <w:r w:rsidR="004D37B6">
        <w:rPr>
          <w:rFonts w:cs="Arial"/>
          <w:lang w:val="en-GB" w:eastAsia="de-DE" w:bidi="en-US"/>
        </w:rPr>
        <w:t xml:space="preserve"> conversion of</w:t>
      </w:r>
      <w:r>
        <w:rPr>
          <w:rFonts w:cs="Arial"/>
          <w:lang w:val="en-GB" w:eastAsia="de-DE" w:bidi="en-US"/>
        </w:rPr>
        <w:t xml:space="preserve"> tar model </w:t>
      </w:r>
      <w:r w:rsidR="004D37B6">
        <w:rPr>
          <w:rFonts w:cs="Arial"/>
          <w:lang w:val="en-GB" w:eastAsia="de-DE" w:bidi="en-US"/>
        </w:rPr>
        <w:t xml:space="preserve">compounds </w:t>
      </w:r>
      <w:r>
        <w:rPr>
          <w:rFonts w:cs="Arial"/>
          <w:lang w:val="en-GB" w:eastAsia="de-DE" w:bidi="en-US"/>
        </w:rPr>
        <w:t xml:space="preserve">with </w:t>
      </w:r>
      <w:r w:rsidR="00410068">
        <w:rPr>
          <w:rFonts w:cs="Arial"/>
          <w:lang w:val="en-GB" w:eastAsia="de-DE" w:bidi="en-US"/>
        </w:rPr>
        <w:t xml:space="preserve">a </w:t>
      </w:r>
      <w:r>
        <w:rPr>
          <w:rFonts w:cs="Arial"/>
          <w:lang w:val="en-GB" w:eastAsia="de-DE" w:bidi="en-US"/>
        </w:rPr>
        <w:t xml:space="preserve">commercial catalyst </w:t>
      </w:r>
      <w:r w:rsidR="004D37B6">
        <w:rPr>
          <w:rFonts w:cs="Arial"/>
          <w:lang w:val="en-GB" w:eastAsia="de-DE" w:bidi="en-US"/>
        </w:rPr>
        <w:t xml:space="preserve">have </w:t>
      </w:r>
      <w:r>
        <w:rPr>
          <w:rFonts w:cs="Arial"/>
          <w:lang w:val="en-GB" w:eastAsia="de-DE" w:bidi="en-US"/>
        </w:rPr>
        <w:t>shown that the presence of 100 ppm H</w:t>
      </w:r>
      <w:r w:rsidRPr="00410068">
        <w:rPr>
          <w:rFonts w:cs="Arial"/>
          <w:vertAlign w:val="subscript"/>
          <w:lang w:val="en-GB" w:eastAsia="de-DE" w:bidi="en-US"/>
        </w:rPr>
        <w:t>2</w:t>
      </w:r>
      <w:r>
        <w:rPr>
          <w:rFonts w:cs="Arial"/>
          <w:lang w:val="en-GB" w:eastAsia="de-DE" w:bidi="en-US"/>
        </w:rPr>
        <w:t xml:space="preserve">S </w:t>
      </w:r>
      <w:r w:rsidR="004D37B6">
        <w:rPr>
          <w:rFonts w:cs="Arial"/>
          <w:lang w:val="en-GB" w:eastAsia="de-DE" w:bidi="en-US"/>
        </w:rPr>
        <w:t>requires</w:t>
      </w:r>
      <w:r>
        <w:rPr>
          <w:rFonts w:cs="Arial"/>
          <w:lang w:val="en-GB" w:eastAsia="de-DE" w:bidi="en-US"/>
        </w:rPr>
        <w:t xml:space="preserve"> a temperature of 850 °C to </w:t>
      </w:r>
      <w:r w:rsidR="004D37B6">
        <w:rPr>
          <w:rFonts w:cs="Arial"/>
          <w:lang w:val="en-GB" w:eastAsia="de-DE" w:bidi="en-US"/>
        </w:rPr>
        <w:t>achieve</w:t>
      </w:r>
      <w:r>
        <w:rPr>
          <w:rFonts w:cs="Arial"/>
          <w:lang w:val="en-GB" w:eastAsia="de-DE" w:bidi="en-US"/>
        </w:rPr>
        <w:t xml:space="preserve"> 100% conversion</w:t>
      </w:r>
      <w:r w:rsidR="0025403B">
        <w:rPr>
          <w:rFonts w:cs="Arial"/>
          <w:lang w:val="en-GB" w:eastAsia="de-DE" w:bidi="en-US"/>
        </w:rPr>
        <w:t xml:space="preserve">, and </w:t>
      </w:r>
      <w:r w:rsidR="004D37B6">
        <w:rPr>
          <w:rFonts w:cs="Arial"/>
          <w:lang w:val="en-GB" w:eastAsia="de-DE" w:bidi="en-US"/>
        </w:rPr>
        <w:t>60 %</w:t>
      </w:r>
      <w:r w:rsidR="0025403B">
        <w:rPr>
          <w:rFonts w:cs="Arial"/>
          <w:lang w:val="en-GB" w:eastAsia="de-DE" w:bidi="en-US"/>
        </w:rPr>
        <w:t xml:space="preserve"> conversion was </w:t>
      </w:r>
      <w:r w:rsidR="004D37B6">
        <w:rPr>
          <w:rFonts w:cs="Arial"/>
          <w:lang w:val="en-GB" w:eastAsia="de-DE" w:bidi="en-US"/>
        </w:rPr>
        <w:t xml:space="preserve">achieved </w:t>
      </w:r>
      <w:r w:rsidR="0025403B">
        <w:rPr>
          <w:rFonts w:cs="Arial"/>
          <w:lang w:val="en-GB" w:eastAsia="de-DE" w:bidi="en-US"/>
        </w:rPr>
        <w:t>at 800 °C</w:t>
      </w:r>
      <w:r w:rsidR="006D4063">
        <w:rPr>
          <w:rFonts w:cs="Arial"/>
          <w:lang w:val="en-GB" w:eastAsia="de-DE" w:bidi="en-US"/>
        </w:rPr>
        <w:t xml:space="preserve"> </w:t>
      </w:r>
      <w:sdt>
        <w:sdtPr>
          <w:rPr>
            <w:rFonts w:cs="Arial"/>
            <w:color w:val="000000"/>
            <w:lang w:val="en-GB" w:eastAsia="de-DE" w:bidi="en-US"/>
          </w:rPr>
          <w:tag w:val="MENDELEY_CITATION_v3_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"/>
          <w:id w:val="1341118804"/>
          <w:placeholder>
            <w:docPart w:val="DefaultPlaceholder_-1854013440"/>
          </w:placeholder>
        </w:sdtPr>
        <w:sdtEndPr/>
        <w:sdtContent>
          <w:r w:rsidR="006D4063" w:rsidRPr="00F83D5C">
            <w:rPr>
              <w:rFonts w:cs="Arial"/>
              <w:color w:val="000000"/>
              <w:lang w:val="en-GB" w:eastAsia="de-DE" w:bidi="en-US"/>
            </w:rPr>
            <w:t>(Tacconi et al., 2022)</w:t>
          </w:r>
        </w:sdtContent>
      </w:sdt>
      <w:r w:rsidR="0025403B">
        <w:rPr>
          <w:rFonts w:cs="Arial"/>
          <w:lang w:val="en-GB" w:eastAsia="de-DE" w:bidi="en-US"/>
        </w:rPr>
        <w:t>.</w:t>
      </w:r>
    </w:p>
    <w:p w14:paraId="0D53EDAE" w14:textId="6B1B349D" w:rsidR="00F27FAA" w:rsidRDefault="00082403" w:rsidP="00712154">
      <w:pPr>
        <w:pStyle w:val="CETBodytext"/>
        <w:rPr>
          <w:color w:val="000000" w:themeColor="text1"/>
        </w:rPr>
      </w:pPr>
      <w:r w:rsidRPr="004D37B6">
        <w:rPr>
          <w:color w:val="000000" w:themeColor="text1"/>
        </w:rPr>
        <w:t xml:space="preserve">The </w:t>
      </w:r>
      <w:r w:rsidR="00410068">
        <w:rPr>
          <w:color w:val="000000" w:themeColor="text1"/>
        </w:rPr>
        <w:t>enhanced</w:t>
      </w:r>
      <w:r w:rsidRPr="004D37B6">
        <w:rPr>
          <w:color w:val="000000" w:themeColor="text1"/>
        </w:rPr>
        <w:t xml:space="preserve"> tar reforming activity </w:t>
      </w:r>
      <w:r w:rsidR="00410068">
        <w:rPr>
          <w:color w:val="000000" w:themeColor="text1"/>
        </w:rPr>
        <w:t xml:space="preserve">exhibited by </w:t>
      </w:r>
      <w:r w:rsidRPr="004D37B6">
        <w:rPr>
          <w:color w:val="000000" w:themeColor="text1"/>
        </w:rPr>
        <w:t xml:space="preserve">the </w:t>
      </w:r>
      <w:r w:rsidR="00410068">
        <w:rPr>
          <w:color w:val="000000" w:themeColor="text1"/>
        </w:rPr>
        <w:t>novel</w:t>
      </w:r>
      <w:r w:rsidRPr="004D37B6">
        <w:rPr>
          <w:color w:val="000000" w:themeColor="text1"/>
        </w:rPr>
        <w:t xml:space="preserve"> catalyst </w:t>
      </w:r>
      <w:r w:rsidR="00410068">
        <w:rPr>
          <w:color w:val="000000" w:themeColor="text1"/>
        </w:rPr>
        <w:t>can be</w:t>
      </w:r>
      <w:r w:rsidRPr="004D37B6">
        <w:rPr>
          <w:color w:val="000000" w:themeColor="text1"/>
        </w:rPr>
        <w:t xml:space="preserve"> </w:t>
      </w:r>
      <w:r w:rsidR="00410068">
        <w:rPr>
          <w:color w:val="000000" w:themeColor="text1"/>
        </w:rPr>
        <w:t>attributed</w:t>
      </w:r>
      <w:r w:rsidRPr="004D37B6">
        <w:rPr>
          <w:color w:val="000000" w:themeColor="text1"/>
        </w:rPr>
        <w:t xml:space="preserve"> to the increase</w:t>
      </w:r>
      <w:r w:rsidR="00410068">
        <w:rPr>
          <w:color w:val="000000" w:themeColor="text1"/>
        </w:rPr>
        <w:t>d</w:t>
      </w:r>
      <w:r w:rsidRPr="004D37B6">
        <w:rPr>
          <w:color w:val="000000" w:themeColor="text1"/>
        </w:rPr>
        <w:t xml:space="preserve"> BET surface area (</w:t>
      </w:r>
      <w:r w:rsidR="00410068" w:rsidRPr="00410068">
        <w:rPr>
          <w:color w:val="000000" w:themeColor="text1"/>
        </w:rPr>
        <w:t xml:space="preserve">approximately four times greater than that of </w:t>
      </w:r>
      <w:r w:rsidR="00410068">
        <w:rPr>
          <w:color w:val="000000" w:themeColor="text1"/>
        </w:rPr>
        <w:t>conventional</w:t>
      </w:r>
      <w:r w:rsidR="00410068" w:rsidRPr="00410068">
        <w:rPr>
          <w:color w:val="000000" w:themeColor="text1"/>
        </w:rPr>
        <w:t xml:space="preserve"> tar steam reforming catalysts</w:t>
      </w:r>
      <w:r w:rsidRPr="004D37B6">
        <w:rPr>
          <w:color w:val="000000" w:themeColor="text1"/>
        </w:rPr>
        <w:t xml:space="preserve">) and the increase in density of </w:t>
      </w:r>
      <w:proofErr w:type="spellStart"/>
      <w:r w:rsidRPr="004D37B6">
        <w:rPr>
          <w:color w:val="000000" w:themeColor="text1"/>
        </w:rPr>
        <w:t>NiO</w:t>
      </w:r>
      <w:proofErr w:type="spellEnd"/>
      <w:r w:rsidRPr="004D37B6">
        <w:rPr>
          <w:color w:val="000000" w:themeColor="text1"/>
        </w:rPr>
        <w:t>.</w:t>
      </w:r>
      <w:r w:rsidR="00F670FA">
        <w:rPr>
          <w:color w:val="000000" w:themeColor="text1"/>
        </w:rPr>
        <w:t xml:space="preserve"> </w:t>
      </w:r>
      <w:r w:rsidR="0025403B">
        <w:rPr>
          <w:color w:val="000000" w:themeColor="text1"/>
        </w:rPr>
        <w:t xml:space="preserve">This improved </w:t>
      </w:r>
      <w:r w:rsidR="006D4063">
        <w:rPr>
          <w:color w:val="000000" w:themeColor="text1"/>
        </w:rPr>
        <w:t>quality is further demonstrated by the high</w:t>
      </w:r>
      <w:r w:rsidR="006D4063" w:rsidRPr="006D4063">
        <w:t xml:space="preserve"> </w:t>
      </w:r>
      <w:r w:rsidR="006D4063" w:rsidRPr="006D4063">
        <w:rPr>
          <w:color w:val="000000" w:themeColor="text1"/>
        </w:rPr>
        <w:t>CO</w:t>
      </w:r>
      <w:r w:rsidR="006D4063" w:rsidRPr="004D37B6">
        <w:rPr>
          <w:color w:val="000000" w:themeColor="text1"/>
          <w:vertAlign w:val="subscript"/>
        </w:rPr>
        <w:t>2</w:t>
      </w:r>
      <w:r w:rsidR="006D4063" w:rsidRPr="006D4063">
        <w:rPr>
          <w:color w:val="000000" w:themeColor="text1"/>
        </w:rPr>
        <w:t xml:space="preserve"> </w:t>
      </w:r>
      <w:r w:rsidR="006D4063">
        <w:rPr>
          <w:color w:val="000000" w:themeColor="text1"/>
        </w:rPr>
        <w:t xml:space="preserve">content </w:t>
      </w:r>
      <w:r w:rsidR="006D4063" w:rsidRPr="006D4063">
        <w:rPr>
          <w:color w:val="000000" w:themeColor="text1"/>
        </w:rPr>
        <w:t>in the product gas</w:t>
      </w:r>
      <w:r w:rsidR="00410068">
        <w:rPr>
          <w:color w:val="000000" w:themeColor="text1"/>
        </w:rPr>
        <w:t>,</w:t>
      </w:r>
      <w:r w:rsidR="006D4063" w:rsidRPr="006D4063">
        <w:rPr>
          <w:color w:val="000000" w:themeColor="text1"/>
        </w:rPr>
        <w:t xml:space="preserve"> </w:t>
      </w:r>
      <w:r w:rsidR="006D4063">
        <w:rPr>
          <w:color w:val="000000" w:themeColor="text1"/>
        </w:rPr>
        <w:t xml:space="preserve">indicating </w:t>
      </w:r>
      <w:r w:rsidR="006D4063" w:rsidRPr="006D4063">
        <w:rPr>
          <w:color w:val="000000" w:themeColor="text1"/>
        </w:rPr>
        <w:t xml:space="preserve">a </w:t>
      </w:r>
      <w:proofErr w:type="gramStart"/>
      <w:r w:rsidR="006D4063" w:rsidRPr="006D4063">
        <w:rPr>
          <w:color w:val="000000" w:themeColor="text1"/>
        </w:rPr>
        <w:t>high water</w:t>
      </w:r>
      <w:proofErr w:type="gramEnd"/>
      <w:r w:rsidR="006D4063" w:rsidRPr="006D4063">
        <w:rPr>
          <w:color w:val="000000" w:themeColor="text1"/>
        </w:rPr>
        <w:t xml:space="preserve"> gas shift activity of the catalyst</w:t>
      </w:r>
      <w:r w:rsidR="006D4063">
        <w:rPr>
          <w:color w:val="000000" w:themeColor="text1"/>
        </w:rPr>
        <w:t>.</w:t>
      </w:r>
    </w:p>
    <w:p w14:paraId="58FFC175" w14:textId="77777777" w:rsidR="00410068" w:rsidRPr="000B7D41" w:rsidRDefault="00410068" w:rsidP="000B7D41">
      <w:pPr>
        <w:pStyle w:val="CETBodytext"/>
      </w:pPr>
    </w:p>
    <w:p w14:paraId="68D26B83" w14:textId="4399B0B7" w:rsidR="00600535" w:rsidRPr="007840DC" w:rsidRDefault="00600535" w:rsidP="003A03B1">
      <w:pPr>
        <w:pStyle w:val="CETHeading1"/>
        <w:rPr>
          <w:color w:val="000000" w:themeColor="text1"/>
          <w:lang w:val="en-GB"/>
        </w:rPr>
      </w:pPr>
      <w:r w:rsidRPr="007840DC">
        <w:rPr>
          <w:color w:val="000000" w:themeColor="text1"/>
          <w:lang w:val="en-GB"/>
        </w:rPr>
        <w:lastRenderedPageBreak/>
        <w:t>Conclusions</w:t>
      </w:r>
    </w:p>
    <w:p w14:paraId="5F6368AD" w14:textId="5C7DFE37" w:rsidR="00082403" w:rsidRDefault="00462010" w:rsidP="00082403">
      <w:pPr>
        <w:pStyle w:val="CETBodytext"/>
      </w:pPr>
      <w:bookmarkStart w:id="4" w:name="_Hlk153892856"/>
      <w:r w:rsidRPr="00462010">
        <w:t>In this work</w:t>
      </w:r>
      <w:r w:rsidR="00082403">
        <w:t>,</w:t>
      </w:r>
      <w:r w:rsidRPr="00462010">
        <w:t xml:space="preserve"> </w:t>
      </w:r>
      <w:r>
        <w:t>a novel Ni-based catalyst (</w:t>
      </w:r>
      <w:r w:rsidRPr="00A50DF4">
        <w:t>C&amp;CS #1050 B</w:t>
      </w:r>
      <w:r>
        <w:t xml:space="preserve">) was tested in a laboratory scale packed-bed reactor to assess </w:t>
      </w:r>
      <w:r w:rsidR="00082403">
        <w:t>its</w:t>
      </w:r>
      <w:r>
        <w:t xml:space="preserve"> performance </w:t>
      </w:r>
      <w:r w:rsidR="00082403">
        <w:t>under</w:t>
      </w:r>
      <w:r>
        <w:t xml:space="preserve"> differe</w:t>
      </w:r>
      <w:r w:rsidR="00082403">
        <w:t>nt</w:t>
      </w:r>
      <w:r>
        <w:t xml:space="preserve"> process conditions. Tar key compounds (naphthalene and toluene) and thiophene (as equivalent H</w:t>
      </w:r>
      <w:r w:rsidRPr="00462010">
        <w:rPr>
          <w:vertAlign w:val="subscript"/>
        </w:rPr>
        <w:t>2</w:t>
      </w:r>
      <w:r>
        <w:t>S) were used for the steam reforming tests.</w:t>
      </w:r>
      <w:r w:rsidR="00596443">
        <w:t xml:space="preserve"> </w:t>
      </w:r>
      <w:proofErr w:type="gramStart"/>
      <w:r w:rsidR="00596443">
        <w:t xml:space="preserve">In particular, </w:t>
      </w:r>
      <w:r w:rsidR="00082403">
        <w:t>a</w:t>
      </w:r>
      <w:proofErr w:type="gramEnd"/>
      <w:r w:rsidR="00082403">
        <w:t xml:space="preserve"> </w:t>
      </w:r>
      <w:r w:rsidR="00596443">
        <w:t>tar content of 13 g/Nm</w:t>
      </w:r>
      <w:r w:rsidR="00596443" w:rsidRPr="007056A9">
        <w:rPr>
          <w:vertAlign w:val="superscript"/>
        </w:rPr>
        <w:t>3</w:t>
      </w:r>
      <w:r w:rsidR="00596443">
        <w:t>, two gas hourly space velocit</w:t>
      </w:r>
      <w:r w:rsidR="001E1AFA">
        <w:t>ies</w:t>
      </w:r>
      <w:r w:rsidR="00596443">
        <w:t xml:space="preserve"> (6000 and 13000 h</w:t>
      </w:r>
      <w:r w:rsidR="00596443" w:rsidRPr="007056A9">
        <w:rPr>
          <w:vertAlign w:val="superscript"/>
        </w:rPr>
        <w:t>-1</w:t>
      </w:r>
      <w:r w:rsidR="00596443">
        <w:t>), two typical concentrations of equivalent H</w:t>
      </w:r>
      <w:r w:rsidR="00596443" w:rsidRPr="007056A9">
        <w:rPr>
          <w:vertAlign w:val="subscript"/>
        </w:rPr>
        <w:t>2</w:t>
      </w:r>
      <w:r w:rsidR="00596443">
        <w:t>S (</w:t>
      </w:r>
      <w:r w:rsidR="00596443" w:rsidRPr="00462010">
        <w:t xml:space="preserve">thiophene at 50 and 100 </w:t>
      </w:r>
      <w:proofErr w:type="spellStart"/>
      <w:r w:rsidR="00596443" w:rsidRPr="00462010">
        <w:t>ppm</w:t>
      </w:r>
      <w:r w:rsidR="001E1AFA">
        <w:t>v</w:t>
      </w:r>
      <w:proofErr w:type="spellEnd"/>
      <w:r w:rsidR="00596443" w:rsidRPr="00462010">
        <w:t>)</w:t>
      </w:r>
      <w:r w:rsidR="00596443">
        <w:t xml:space="preserve"> and temperature</w:t>
      </w:r>
      <w:r w:rsidR="00082403">
        <w:t>s ranging</w:t>
      </w:r>
      <w:r w:rsidR="00596443">
        <w:t xml:space="preserve"> between 650 and 800 °C were </w:t>
      </w:r>
      <w:r w:rsidR="00082403">
        <w:t>examined</w:t>
      </w:r>
      <w:r w:rsidR="00596443">
        <w:t xml:space="preserve">. </w:t>
      </w:r>
    </w:p>
    <w:p w14:paraId="1AFC8E31" w14:textId="368699D1" w:rsidR="00082403" w:rsidRDefault="00596443" w:rsidP="00082403">
      <w:pPr>
        <w:pStyle w:val="CETBodytext"/>
      </w:pPr>
      <w:r>
        <w:t xml:space="preserve">The preliminary tests with 50 </w:t>
      </w:r>
      <w:proofErr w:type="spellStart"/>
      <w:r>
        <w:t>ppm</w:t>
      </w:r>
      <w:r w:rsidR="001E1AFA">
        <w:t>v</w:t>
      </w:r>
      <w:proofErr w:type="spellEnd"/>
      <w:r>
        <w:t xml:space="preserve"> of thiophene and </w:t>
      </w:r>
      <w:r w:rsidR="00082403">
        <w:t xml:space="preserve">a </w:t>
      </w:r>
      <w:r>
        <w:t>GHSV of 6000 h</w:t>
      </w:r>
      <w:r w:rsidRPr="007056A9">
        <w:rPr>
          <w:vertAlign w:val="superscript"/>
        </w:rPr>
        <w:t>-1</w:t>
      </w:r>
      <w:r>
        <w:t xml:space="preserve"> were compared to the results obtained with a commercial catalyst</w:t>
      </w:r>
      <w:r w:rsidR="00082403">
        <w:t>, demonstrating superior</w:t>
      </w:r>
      <w:r>
        <w:t xml:space="preserve"> performance of the novel catalyst (tar conversion of 100% at each temperature). </w:t>
      </w:r>
      <w:r w:rsidR="00082403">
        <w:t>Furthermore</w:t>
      </w:r>
      <w:r>
        <w:t>, at increased GHSV</w:t>
      </w:r>
      <w:r w:rsidR="00082403">
        <w:t>,</w:t>
      </w:r>
      <w:r>
        <w:t xml:space="preserve"> the conversion </w:t>
      </w:r>
      <w:r w:rsidR="00082403">
        <w:t>remained</w:t>
      </w:r>
      <w:r>
        <w:t xml:space="preserve"> close to 100% at 800 °C and higher than 95% at 750 °C.</w:t>
      </w:r>
      <w:r w:rsidR="007056A9">
        <w:t xml:space="preserve"> </w:t>
      </w:r>
      <w:r w:rsidR="004D37B6">
        <w:t xml:space="preserve">A </w:t>
      </w:r>
      <w:r w:rsidR="00082403">
        <w:t>significant</w:t>
      </w:r>
      <w:r w:rsidR="004D37B6">
        <w:t xml:space="preserve"> improvement</w:t>
      </w:r>
      <w:r w:rsidR="00082403">
        <w:t xml:space="preserve"> in tar reforming compared </w:t>
      </w:r>
      <w:r w:rsidR="004D37B6">
        <w:t xml:space="preserve">to </w:t>
      </w:r>
      <w:r w:rsidR="001E1AFA">
        <w:t xml:space="preserve">a </w:t>
      </w:r>
      <w:r w:rsidR="004D37B6">
        <w:t xml:space="preserve">commercial catalyst was observed at 100 </w:t>
      </w:r>
      <w:proofErr w:type="spellStart"/>
      <w:r w:rsidR="004D37B6">
        <w:t>ppm</w:t>
      </w:r>
      <w:r w:rsidR="001E1AFA">
        <w:t>v</w:t>
      </w:r>
      <w:proofErr w:type="spellEnd"/>
      <w:r w:rsidR="004D37B6">
        <w:t xml:space="preserve"> H</w:t>
      </w:r>
      <w:r w:rsidR="004D37B6" w:rsidRPr="004F0544">
        <w:rPr>
          <w:vertAlign w:val="subscript"/>
        </w:rPr>
        <w:t>2</w:t>
      </w:r>
      <w:r w:rsidR="004D37B6">
        <w:t>S</w:t>
      </w:r>
      <w:r w:rsidR="00082403">
        <w:t xml:space="preserve">, achieving a </w:t>
      </w:r>
      <w:r w:rsidR="004D37B6">
        <w:t xml:space="preserve">100 % conversion rate </w:t>
      </w:r>
      <w:r w:rsidR="00082403">
        <w:t>even</w:t>
      </w:r>
      <w:r w:rsidR="004D37B6">
        <w:t xml:space="preserve"> at 650 °C.</w:t>
      </w:r>
    </w:p>
    <w:p w14:paraId="0501065F" w14:textId="076402F8" w:rsidR="00596443" w:rsidRDefault="00596443" w:rsidP="00082403">
      <w:pPr>
        <w:pStyle w:val="CETBodytext"/>
      </w:pPr>
      <w:r>
        <w:t xml:space="preserve">Future </w:t>
      </w:r>
      <w:r w:rsidR="007056A9">
        <w:t>activities</w:t>
      </w:r>
      <w:r>
        <w:t xml:space="preserve"> will </w:t>
      </w:r>
      <w:r w:rsidR="00082403">
        <w:t xml:space="preserve">focus </w:t>
      </w:r>
      <w:r>
        <w:t xml:space="preserve">on </w:t>
      </w:r>
      <w:r w:rsidR="00082403">
        <w:t xml:space="preserve">evaluating the performance </w:t>
      </w:r>
      <w:r>
        <w:t>of th</w:t>
      </w:r>
      <w:r w:rsidR="007056A9">
        <w:t xml:space="preserve">is novel catalyst for tar steam reforming in a real biomass gasification environment. Filter candles filled with the catalyst will be tested in a pilot-scale biomass gasifier. </w:t>
      </w:r>
    </w:p>
    <w:bookmarkEnd w:id="4"/>
    <w:p w14:paraId="3E14B0D7" w14:textId="1A1A120F" w:rsidR="006D4063" w:rsidRDefault="006D4063" w:rsidP="004F0544">
      <w:pPr>
        <w:pStyle w:val="CETReference"/>
      </w:pPr>
    </w:p>
    <w:p w14:paraId="4F1327F8" w14:textId="7A558678" w:rsidR="00600535" w:rsidRPr="007840DC" w:rsidRDefault="00600535" w:rsidP="00600535">
      <w:pPr>
        <w:pStyle w:val="CETReference"/>
        <w:rPr>
          <w:color w:val="000000" w:themeColor="text1"/>
        </w:rPr>
      </w:pPr>
      <w:r w:rsidRPr="007840DC">
        <w:rPr>
          <w:color w:val="000000" w:themeColor="text1"/>
        </w:rPr>
        <w:t>References</w:t>
      </w:r>
    </w:p>
    <w:p w14:paraId="1E877701" w14:textId="0C7DDBC0" w:rsidR="003645C7" w:rsidRDefault="003645C7" w:rsidP="003645C7">
      <w:pPr>
        <w:pStyle w:val="CETReferencetext"/>
      </w:pPr>
      <w:r>
        <w:t>Asadullah M.</w:t>
      </w:r>
      <w:r w:rsidR="00D95C63">
        <w:t>,</w:t>
      </w:r>
      <w:r>
        <w:t xml:space="preserve"> 2014</w:t>
      </w:r>
      <w:r w:rsidR="00D95C63">
        <w:t>,</w:t>
      </w:r>
      <w:r>
        <w:t xml:space="preserve"> Biomass gasification gas cleaning for downstream applications: A comparative critical review</w:t>
      </w:r>
      <w:r w:rsidR="00D95C63">
        <w:t>,</w:t>
      </w:r>
      <w:r>
        <w:t xml:space="preserve"> Renewable and Sustainable Energy Reviews, 40, 118–132.</w:t>
      </w:r>
    </w:p>
    <w:p w14:paraId="73CC99C7" w14:textId="62644541" w:rsidR="00295D9F" w:rsidRDefault="00295D9F" w:rsidP="003645C7">
      <w:pPr>
        <w:pStyle w:val="CETReferencetext"/>
      </w:pPr>
      <w:r w:rsidRPr="00295D9F">
        <w:t xml:space="preserve">Binte Mohamed D. K., </w:t>
      </w:r>
      <w:proofErr w:type="spellStart"/>
      <w:r w:rsidRPr="00295D9F">
        <w:t>Veksha</w:t>
      </w:r>
      <w:proofErr w:type="spellEnd"/>
      <w:r w:rsidRPr="00295D9F">
        <w:t xml:space="preserve"> A., Ha Q.</w:t>
      </w:r>
      <w:r>
        <w:t xml:space="preserve"> </w:t>
      </w:r>
      <w:r w:rsidRPr="00295D9F">
        <w:t>L. M., Chan W. P., Lim T. T., Lisak G.</w:t>
      </w:r>
      <w:r>
        <w:t xml:space="preserve">, </w:t>
      </w:r>
      <w:r w:rsidRPr="00295D9F">
        <w:t>2022</w:t>
      </w:r>
      <w:r>
        <w:t xml:space="preserve">, </w:t>
      </w:r>
      <w:r w:rsidRPr="00295D9F">
        <w:t xml:space="preserve">Advanced Ni tar reforming catalysts resistant to syngas impurities: Current knowledge, research gaps and </w:t>
      </w:r>
      <w:proofErr w:type="gramStart"/>
      <w:r w:rsidRPr="00295D9F">
        <w:t>future prospects</w:t>
      </w:r>
      <w:proofErr w:type="gramEnd"/>
      <w:r>
        <w:t xml:space="preserve">, </w:t>
      </w:r>
      <w:r w:rsidRPr="00295D9F">
        <w:t>Fuel, 318, 123602</w:t>
      </w:r>
      <w:r>
        <w:t>.</w:t>
      </w:r>
    </w:p>
    <w:p w14:paraId="5A24D0E0" w14:textId="15CCFB2D" w:rsidR="00282435" w:rsidRDefault="00282435" w:rsidP="003645C7">
      <w:pPr>
        <w:pStyle w:val="CETReferencetext"/>
      </w:pPr>
      <w:r w:rsidRPr="00282435">
        <w:t>Cao J. P., Ren J., Zhao X. Y., Wei</w:t>
      </w:r>
      <w:r>
        <w:t xml:space="preserve"> </w:t>
      </w:r>
      <w:r w:rsidRPr="00282435">
        <w:t xml:space="preserve">X. Y., </w:t>
      </w:r>
      <w:proofErr w:type="spellStart"/>
      <w:r w:rsidRPr="00282435">
        <w:t>Takarada</w:t>
      </w:r>
      <w:proofErr w:type="spellEnd"/>
      <w:r w:rsidRPr="00282435">
        <w:t xml:space="preserve"> T.</w:t>
      </w:r>
      <w:r>
        <w:t xml:space="preserve">, </w:t>
      </w:r>
      <w:r w:rsidRPr="00282435">
        <w:t>2018</w:t>
      </w:r>
      <w:r>
        <w:t>,</w:t>
      </w:r>
      <w:r w:rsidRPr="00282435">
        <w:t xml:space="preserve"> Effect of atmosphere on carbon deposition of Ni/Al2O3 and Ni-loaded on lignite char during reforming of toluene as a biomass tar model compound</w:t>
      </w:r>
      <w:r>
        <w:t>,</w:t>
      </w:r>
      <w:r w:rsidRPr="00282435">
        <w:t xml:space="preserve"> Fuel, 217, 515–521.</w:t>
      </w:r>
    </w:p>
    <w:p w14:paraId="4DED2D31" w14:textId="17956A89" w:rsidR="003645C7" w:rsidRPr="00282435" w:rsidRDefault="003645C7" w:rsidP="003645C7">
      <w:pPr>
        <w:pStyle w:val="CETReferencetext"/>
      </w:pPr>
      <w:r w:rsidRPr="00282435">
        <w:t>CE project MEMBER, 2022, cordis.europa.eu/project/id/760944.</w:t>
      </w:r>
    </w:p>
    <w:p w14:paraId="4C2A1326" w14:textId="51CED54B" w:rsidR="003645C7" w:rsidRDefault="003645C7" w:rsidP="003645C7">
      <w:pPr>
        <w:pStyle w:val="CETReferencetext"/>
      </w:pPr>
      <w:r w:rsidRPr="00282435">
        <w:t>Depner H.</w:t>
      </w:r>
      <w:r w:rsidR="00282435" w:rsidRPr="00282435">
        <w:t>,</w:t>
      </w:r>
      <w:r w:rsidRPr="00282435">
        <w:t xml:space="preserve"> Jess A.</w:t>
      </w:r>
      <w:r w:rsidR="00282435" w:rsidRPr="00282435">
        <w:t>,</w:t>
      </w:r>
      <w:r w:rsidRPr="00282435">
        <w:t xml:space="preserve"> 1999</w:t>
      </w:r>
      <w:r w:rsidR="00282435" w:rsidRPr="00282435">
        <w:t xml:space="preserve">, </w:t>
      </w:r>
      <w:r w:rsidRPr="00282435">
        <w:t>Kinetics of nickel-</w:t>
      </w:r>
      <w:proofErr w:type="spellStart"/>
      <w:r w:rsidRPr="00282435">
        <w:t>catalyzed</w:t>
      </w:r>
      <w:proofErr w:type="spellEnd"/>
      <w:r w:rsidRPr="00282435">
        <w:t xml:space="preserve"> purification of tarry fuel gases from gasification and pyrolysis of solid fuels</w:t>
      </w:r>
      <w:r w:rsidR="00282435" w:rsidRPr="00282435">
        <w:t>,</w:t>
      </w:r>
      <w:r w:rsidRPr="00282435">
        <w:t xml:space="preserve"> Fuel, 78, 1369–1377.</w:t>
      </w:r>
      <w:r>
        <w:t xml:space="preserve"> </w:t>
      </w:r>
    </w:p>
    <w:p w14:paraId="052D6DB4" w14:textId="75775815" w:rsidR="003645C7" w:rsidRDefault="003645C7" w:rsidP="003645C7">
      <w:pPr>
        <w:pStyle w:val="CETReferencetext"/>
      </w:pPr>
      <w:r>
        <w:t>Gholamian E., Zare V., Mousavi S. M.</w:t>
      </w:r>
      <w:r w:rsidR="00D95C63">
        <w:t>,</w:t>
      </w:r>
      <w:r>
        <w:t xml:space="preserve"> 2016</w:t>
      </w:r>
      <w:r w:rsidR="00D95C63">
        <w:t>,</w:t>
      </w:r>
      <w:r>
        <w:t xml:space="preserve"> Integration of biomass gasification with a solid oxide fuel cell in a combined cooling, </w:t>
      </w:r>
      <w:proofErr w:type="gramStart"/>
      <w:r>
        <w:t>heating</w:t>
      </w:r>
      <w:proofErr w:type="gramEnd"/>
      <w:r>
        <w:t xml:space="preserve"> and power system: A thermodynamic and environmental analysis</w:t>
      </w:r>
      <w:r w:rsidR="00D95C63">
        <w:t>;</w:t>
      </w:r>
      <w:r>
        <w:t xml:space="preserve"> International Journal of Hydrogen Energy, 41(44), 20396–20406.</w:t>
      </w:r>
    </w:p>
    <w:p w14:paraId="3AD63E26" w14:textId="4BC49BCF" w:rsidR="003645C7" w:rsidRDefault="003645C7" w:rsidP="003645C7">
      <w:pPr>
        <w:pStyle w:val="CETReferencetext"/>
      </w:pPr>
      <w:r>
        <w:t>Heidenreich S.</w:t>
      </w:r>
      <w:r w:rsidR="00D95C63">
        <w:t>,</w:t>
      </w:r>
      <w:r>
        <w:t xml:space="preserve"> Foscolo P. U.</w:t>
      </w:r>
      <w:r w:rsidR="00D95C63">
        <w:t xml:space="preserve">, </w:t>
      </w:r>
      <w:r>
        <w:t>2015</w:t>
      </w:r>
      <w:r w:rsidR="00D95C63">
        <w:t>,</w:t>
      </w:r>
      <w:r>
        <w:t xml:space="preserve"> New concepts in biomass gasification. Progress in Energy and Combustion Science, 46, 72–95.</w:t>
      </w:r>
    </w:p>
    <w:p w14:paraId="481B14A4" w14:textId="5B2734D7" w:rsidR="003645C7" w:rsidRDefault="003645C7" w:rsidP="003645C7">
      <w:pPr>
        <w:pStyle w:val="CETReferencetext"/>
      </w:pPr>
      <w:r>
        <w:t>IEA</w:t>
      </w:r>
      <w:r w:rsidR="00D95C63">
        <w:t xml:space="preserve">, </w:t>
      </w:r>
      <w:r>
        <w:t>2021</w:t>
      </w:r>
      <w:r w:rsidR="00D95C63">
        <w:t>,</w:t>
      </w:r>
      <w:r>
        <w:t xml:space="preserve"> Key World Energy Statistics, IEA, Paris. www.iea.org/reports/key-world-energy-statistics-2021.</w:t>
      </w:r>
    </w:p>
    <w:p w14:paraId="51F3B370" w14:textId="0D738747" w:rsidR="003645C7" w:rsidRDefault="003645C7" w:rsidP="003645C7">
      <w:pPr>
        <w:pStyle w:val="CETReferencetext"/>
      </w:pPr>
      <w:r>
        <w:t xml:space="preserve">Ma L., </w:t>
      </w:r>
      <w:proofErr w:type="spellStart"/>
      <w:r>
        <w:t>Verelst</w:t>
      </w:r>
      <w:proofErr w:type="spellEnd"/>
      <w:r>
        <w:t xml:space="preserve"> H., Baron G. V.</w:t>
      </w:r>
      <w:r w:rsidR="00D95C63">
        <w:t xml:space="preserve">, </w:t>
      </w:r>
      <w:r>
        <w:t>2005</w:t>
      </w:r>
      <w:r w:rsidR="00D95C63">
        <w:t>,</w:t>
      </w:r>
      <w:r>
        <w:t xml:space="preserve"> Integrated high temperature gas cleaning: Tar removal in biomass gasification with a catalytic filter</w:t>
      </w:r>
      <w:r w:rsidR="00D95C63">
        <w:t>,</w:t>
      </w:r>
      <w:r>
        <w:t xml:space="preserve"> Catalysis Today, 105(3–4), 729–734.</w:t>
      </w:r>
    </w:p>
    <w:p w14:paraId="0D37C40E" w14:textId="456823E1" w:rsidR="003645C7" w:rsidRDefault="003645C7" w:rsidP="003645C7">
      <w:pPr>
        <w:pStyle w:val="CETReferencetext"/>
      </w:pPr>
      <w:proofErr w:type="spellStart"/>
      <w:r>
        <w:t>Ouweltjes</w:t>
      </w:r>
      <w:proofErr w:type="spellEnd"/>
      <w:r>
        <w:t xml:space="preserve"> J. P., 2019,</w:t>
      </w:r>
      <w:r w:rsidR="00D95C63">
        <w:t xml:space="preserve"> “</w:t>
      </w:r>
      <w:r>
        <w:t>Report summarising the literature review” for Selection of Representative Syngas Compositions including Organic and Inorganic Contaminants, Deliverable 3.2, BLAZE, European Project No. 85284.</w:t>
      </w:r>
    </w:p>
    <w:p w14:paraId="2F6903EF" w14:textId="09549C84" w:rsidR="003645C7" w:rsidRDefault="003645C7" w:rsidP="003645C7">
      <w:pPr>
        <w:pStyle w:val="CETReferencetext"/>
      </w:pPr>
      <w:r w:rsidRPr="00D95C63">
        <w:rPr>
          <w:lang w:val="en-US"/>
        </w:rPr>
        <w:t>Papa A. A., Di Carlo</w:t>
      </w:r>
      <w:r w:rsidR="00D95C63" w:rsidRPr="00D95C63">
        <w:rPr>
          <w:lang w:val="en-US"/>
        </w:rPr>
        <w:t xml:space="preserve"> </w:t>
      </w:r>
      <w:r w:rsidRPr="00D95C63">
        <w:rPr>
          <w:lang w:val="en-US"/>
        </w:rPr>
        <w:t xml:space="preserve">A., </w:t>
      </w:r>
      <w:proofErr w:type="spellStart"/>
      <w:r w:rsidRPr="00D95C63">
        <w:rPr>
          <w:lang w:val="en-US"/>
        </w:rPr>
        <w:t>Rapagnà</w:t>
      </w:r>
      <w:proofErr w:type="spellEnd"/>
      <w:r w:rsidR="00D95C63" w:rsidRPr="00D95C63">
        <w:rPr>
          <w:lang w:val="en-US"/>
        </w:rPr>
        <w:t xml:space="preserve"> </w:t>
      </w:r>
      <w:r w:rsidRPr="00D95C63">
        <w:rPr>
          <w:lang w:val="en-US"/>
        </w:rPr>
        <w:t>S.</w:t>
      </w:r>
      <w:r w:rsidR="00D95C63" w:rsidRPr="00D95C63">
        <w:rPr>
          <w:lang w:val="en-US"/>
        </w:rPr>
        <w:t>,</w:t>
      </w:r>
      <w:r w:rsidRPr="00D95C63">
        <w:rPr>
          <w:lang w:val="en-US"/>
        </w:rPr>
        <w:t xml:space="preserve"> 2022</w:t>
      </w:r>
      <w:r w:rsidR="00D95C63" w:rsidRPr="00D95C63">
        <w:rPr>
          <w:lang w:val="en-US"/>
        </w:rPr>
        <w:t>,</w:t>
      </w:r>
      <w:r w:rsidRPr="00D95C63">
        <w:rPr>
          <w:lang w:val="en-US"/>
        </w:rPr>
        <w:t xml:space="preserve"> </w:t>
      </w:r>
      <w:r>
        <w:t>Biomass as a Renewable Source to Produce Synthesis Gas by Catalytic Gasification Process</w:t>
      </w:r>
      <w:r w:rsidR="00D95C63">
        <w:t>,</w:t>
      </w:r>
      <w:r>
        <w:t xml:space="preserve"> Chemical Engineering Transactions, 92, 295–300. </w:t>
      </w:r>
    </w:p>
    <w:p w14:paraId="6AC8C02A" w14:textId="3FF4B276" w:rsidR="003645C7" w:rsidRPr="00D95C63" w:rsidRDefault="003645C7" w:rsidP="003645C7">
      <w:pPr>
        <w:pStyle w:val="CETReferencetext"/>
        <w:rPr>
          <w:lang w:val="en-US"/>
        </w:rPr>
      </w:pPr>
      <w:r w:rsidRPr="00C37EA2">
        <w:rPr>
          <w:lang w:val="en-US"/>
        </w:rPr>
        <w:t>Pap</w:t>
      </w:r>
      <w:r w:rsidR="00D95C63">
        <w:rPr>
          <w:lang w:val="en-US"/>
        </w:rPr>
        <w:t>a</w:t>
      </w:r>
      <w:r w:rsidRPr="00C37EA2">
        <w:rPr>
          <w:lang w:val="en-US"/>
        </w:rPr>
        <w:t xml:space="preserve"> A. A., </w:t>
      </w:r>
      <w:proofErr w:type="spellStart"/>
      <w:r w:rsidRPr="00C37EA2">
        <w:rPr>
          <w:lang w:val="en-US"/>
        </w:rPr>
        <w:t>Savuto</w:t>
      </w:r>
      <w:proofErr w:type="spellEnd"/>
      <w:r w:rsidRPr="00C37EA2">
        <w:rPr>
          <w:lang w:val="en-US"/>
        </w:rPr>
        <w:t xml:space="preserve"> E., </w:t>
      </w:r>
      <w:r w:rsidR="00D95C63">
        <w:rPr>
          <w:lang w:val="en-US"/>
        </w:rPr>
        <w:t xml:space="preserve">Di </w:t>
      </w:r>
      <w:r w:rsidRPr="00C37EA2">
        <w:rPr>
          <w:lang w:val="en-US"/>
        </w:rPr>
        <w:t xml:space="preserve">Carlo A., Tacconi A., </w:t>
      </w:r>
      <w:proofErr w:type="spellStart"/>
      <w:r w:rsidRPr="00C37EA2">
        <w:rPr>
          <w:lang w:val="en-US"/>
        </w:rPr>
        <w:t>Rapagnà</w:t>
      </w:r>
      <w:proofErr w:type="spellEnd"/>
      <w:r w:rsidRPr="00C37EA2">
        <w:rPr>
          <w:lang w:val="en-US"/>
        </w:rPr>
        <w:t xml:space="preserve"> S.</w:t>
      </w:r>
      <w:r w:rsidR="00D95C63">
        <w:rPr>
          <w:lang w:val="en-US"/>
        </w:rPr>
        <w:t xml:space="preserve">, </w:t>
      </w:r>
      <w:r w:rsidRPr="00C37EA2">
        <w:rPr>
          <w:lang w:val="en-US"/>
        </w:rPr>
        <w:t>2023</w:t>
      </w:r>
      <w:r w:rsidR="00D95C63">
        <w:rPr>
          <w:lang w:val="en-US"/>
        </w:rPr>
        <w:t>,</w:t>
      </w:r>
      <w:r w:rsidRPr="00C37EA2">
        <w:rPr>
          <w:lang w:val="en-US"/>
        </w:rPr>
        <w:t xml:space="preserve"> </w:t>
      </w:r>
      <w:r>
        <w:t>Synergic Effects of Bed Materials and Catalytic Filter Candle for the Conversion of Tar during Biomass Steam Gasification</w:t>
      </w:r>
      <w:r w:rsidR="00D95C63">
        <w:t>,</w:t>
      </w:r>
      <w:r>
        <w:t xml:space="preserve"> </w:t>
      </w:r>
      <w:r w:rsidRPr="00D95C63">
        <w:rPr>
          <w:lang w:val="en-US"/>
        </w:rPr>
        <w:t xml:space="preserve">Energies, 16, 595. </w:t>
      </w:r>
    </w:p>
    <w:p w14:paraId="3280EB04" w14:textId="0DAC7D68" w:rsidR="003645C7" w:rsidRPr="00D95C63" w:rsidRDefault="003645C7" w:rsidP="003645C7">
      <w:pPr>
        <w:pStyle w:val="CETReferencetext"/>
        <w:rPr>
          <w:lang w:val="en-US"/>
        </w:rPr>
      </w:pPr>
      <w:proofErr w:type="spellStart"/>
      <w:r w:rsidRPr="00D95C63">
        <w:rPr>
          <w:lang w:val="en-US"/>
        </w:rPr>
        <w:t>Savuto</w:t>
      </w:r>
      <w:proofErr w:type="spellEnd"/>
      <w:r w:rsidRPr="00D95C63">
        <w:rPr>
          <w:lang w:val="en-US"/>
        </w:rPr>
        <w:t xml:space="preserve"> E., Di Carlo A., Steele A., Heidenreich S., Gallucci K., </w:t>
      </w:r>
      <w:proofErr w:type="spellStart"/>
      <w:r w:rsidRPr="00D95C63">
        <w:rPr>
          <w:lang w:val="en-US"/>
        </w:rPr>
        <w:t>Rapagn</w:t>
      </w:r>
      <w:r w:rsidR="00D95C63" w:rsidRPr="00D95C63">
        <w:rPr>
          <w:lang w:val="en-US"/>
        </w:rPr>
        <w:t>à</w:t>
      </w:r>
      <w:proofErr w:type="spellEnd"/>
      <w:r w:rsidRPr="00D95C63">
        <w:rPr>
          <w:lang w:val="en-US"/>
        </w:rPr>
        <w:t xml:space="preserve"> S.</w:t>
      </w:r>
      <w:r w:rsidR="00D95C63" w:rsidRPr="00D95C63">
        <w:rPr>
          <w:lang w:val="en-US"/>
        </w:rPr>
        <w:t xml:space="preserve">, </w:t>
      </w:r>
      <w:r w:rsidRPr="00D95C63">
        <w:rPr>
          <w:lang w:val="en-US"/>
        </w:rPr>
        <w:t>2019</w:t>
      </w:r>
      <w:r w:rsidR="00D95C63" w:rsidRPr="00D95C63">
        <w:rPr>
          <w:lang w:val="en-US"/>
        </w:rPr>
        <w:t>,</w:t>
      </w:r>
      <w:r w:rsidRPr="00D95C63">
        <w:rPr>
          <w:lang w:val="en-US"/>
        </w:rPr>
        <w:t xml:space="preserve"> </w:t>
      </w:r>
      <w:r>
        <w:t>Syngas conditioning by ceramic filter candles filled with catalyst pellets and placed inside the freeboard of a fluidized bed steam gasifier</w:t>
      </w:r>
      <w:r w:rsidR="00D95C63">
        <w:t>,</w:t>
      </w:r>
      <w:r>
        <w:t xml:space="preserve"> </w:t>
      </w:r>
      <w:r w:rsidRPr="00D95C63">
        <w:rPr>
          <w:lang w:val="en-US"/>
        </w:rPr>
        <w:t xml:space="preserve">Fuel Processing Technology, 191, 44–53. </w:t>
      </w:r>
    </w:p>
    <w:p w14:paraId="16C4D7B1" w14:textId="1A0BECB8" w:rsidR="003645C7" w:rsidRDefault="003645C7" w:rsidP="003645C7">
      <w:pPr>
        <w:pStyle w:val="CETReferencetext"/>
      </w:pPr>
      <w:r w:rsidRPr="00D95C63">
        <w:rPr>
          <w:lang w:val="en-US"/>
        </w:rPr>
        <w:t xml:space="preserve">Tacconi A., </w:t>
      </w:r>
      <w:proofErr w:type="spellStart"/>
      <w:r w:rsidRPr="00D95C63">
        <w:rPr>
          <w:lang w:val="en-US"/>
        </w:rPr>
        <w:t>Savuto</w:t>
      </w:r>
      <w:proofErr w:type="spellEnd"/>
      <w:r w:rsidRPr="00D95C63">
        <w:rPr>
          <w:lang w:val="en-US"/>
        </w:rPr>
        <w:t xml:space="preserve"> E., Di Giuliano</w:t>
      </w:r>
      <w:r w:rsidR="00D95C63" w:rsidRPr="00D95C63">
        <w:rPr>
          <w:lang w:val="en-US"/>
        </w:rPr>
        <w:t xml:space="preserve"> </w:t>
      </w:r>
      <w:r w:rsidRPr="00D95C63">
        <w:rPr>
          <w:lang w:val="en-US"/>
        </w:rPr>
        <w:t>A., Di Carlo A.</w:t>
      </w:r>
      <w:r w:rsidR="00D95C63" w:rsidRPr="00D95C63">
        <w:rPr>
          <w:lang w:val="en-US"/>
        </w:rPr>
        <w:t xml:space="preserve">, </w:t>
      </w:r>
      <w:r w:rsidRPr="00D95C63">
        <w:rPr>
          <w:lang w:val="en-US"/>
        </w:rPr>
        <w:t>2022</w:t>
      </w:r>
      <w:r w:rsidR="00D95C63" w:rsidRPr="00D95C63">
        <w:rPr>
          <w:lang w:val="en-US"/>
        </w:rPr>
        <w:t>,</w:t>
      </w:r>
      <w:r w:rsidRPr="00D95C63">
        <w:rPr>
          <w:lang w:val="en-US"/>
        </w:rPr>
        <w:t xml:space="preserve"> </w:t>
      </w:r>
      <w:r>
        <w:t>Laboratory-Scale Study of Nickel-Catalyst Pellets Performance for Tar Steam Reforming Obtained from Biomass Gasification</w:t>
      </w:r>
      <w:r w:rsidR="00D95C63">
        <w:t>,</w:t>
      </w:r>
      <w:r>
        <w:t xml:space="preserve"> Chemical Engineering Transactions, 92, 655–660. </w:t>
      </w:r>
    </w:p>
    <w:p w14:paraId="3347AAD9" w14:textId="00378646" w:rsidR="003645C7" w:rsidRDefault="003645C7" w:rsidP="003645C7">
      <w:pPr>
        <w:pStyle w:val="CETReferencetext"/>
      </w:pPr>
      <w:r>
        <w:t>UNFCCC</w:t>
      </w:r>
      <w:r w:rsidR="00D95C63">
        <w:t>,</w:t>
      </w:r>
      <w:r>
        <w:t xml:space="preserve"> 2015</w:t>
      </w:r>
      <w:r w:rsidR="00D95C63">
        <w:t xml:space="preserve">, </w:t>
      </w:r>
      <w:r>
        <w:t>Paris Agreement</w:t>
      </w:r>
      <w:r w:rsidR="00D95C63">
        <w:t>,</w:t>
      </w:r>
      <w:r>
        <w:t xml:space="preserve"> 21st Conf Partie</w:t>
      </w:r>
      <w:r w:rsidR="00D95C63">
        <w:t>s</w:t>
      </w:r>
      <w:r>
        <w:t xml:space="preserve"> Paris Climate Change Conference - November 2015</w:t>
      </w:r>
      <w:r w:rsidR="00D95C63">
        <w:t>,</w:t>
      </w:r>
      <w:r>
        <w:t xml:space="preserve"> unfccc.int/process-and-meetings/the-paris-agreement/the-paris-agreement.</w:t>
      </w:r>
    </w:p>
    <w:sectPr w:rsidR="003645C7" w:rsidSect="00272FFB">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42757" w14:textId="77777777" w:rsidR="00272FFB" w:rsidRDefault="00272FFB" w:rsidP="004F5E36">
      <w:r>
        <w:separator/>
      </w:r>
    </w:p>
  </w:endnote>
  <w:endnote w:type="continuationSeparator" w:id="0">
    <w:p w14:paraId="3BDE4EFD" w14:textId="77777777" w:rsidR="00272FFB" w:rsidRDefault="00272FF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54303" w14:textId="77777777" w:rsidR="00272FFB" w:rsidRDefault="00272FFB" w:rsidP="004F5E36">
      <w:r>
        <w:separator/>
      </w:r>
    </w:p>
  </w:footnote>
  <w:footnote w:type="continuationSeparator" w:id="0">
    <w:p w14:paraId="3F05982D" w14:textId="77777777" w:rsidR="00272FFB" w:rsidRDefault="00272FF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1AC5195"/>
    <w:multiLevelType w:val="multilevel"/>
    <w:tmpl w:val="F1CEF0FC"/>
    <w:lvl w:ilvl="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20C141E"/>
    <w:multiLevelType w:val="hybridMultilevel"/>
    <w:tmpl w:val="26529D22"/>
    <w:lvl w:ilvl="0" w:tplc="AD8C45A4">
      <w:start w:val="1"/>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D404AD"/>
    <w:multiLevelType w:val="multilevel"/>
    <w:tmpl w:val="27101108"/>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1051465448">
    <w:abstractNumId w:val="11"/>
  </w:num>
  <w:num w:numId="24" w16cid:durableId="1289312307">
    <w:abstractNumId w:val="10"/>
    <w:lvlOverride w:ilvl="0">
      <w:startOverride w:val="1"/>
    </w:lvlOverride>
    <w:lvlOverride w:ilvl="1"/>
    <w:lvlOverride w:ilvl="2">
      <w:startOverride w:val="1"/>
    </w:lvlOverride>
  </w:num>
  <w:num w:numId="25" w16cid:durableId="1531138234">
    <w:abstractNumId w:val="23"/>
  </w:num>
  <w:num w:numId="26" w16cid:durableId="157011498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3D7"/>
    <w:rsid w:val="000027C0"/>
    <w:rsid w:val="00002DFD"/>
    <w:rsid w:val="000031EF"/>
    <w:rsid w:val="000052FB"/>
    <w:rsid w:val="00005A19"/>
    <w:rsid w:val="000117CB"/>
    <w:rsid w:val="00017D1D"/>
    <w:rsid w:val="00026DAB"/>
    <w:rsid w:val="0003148D"/>
    <w:rsid w:val="00031EEC"/>
    <w:rsid w:val="00032C46"/>
    <w:rsid w:val="00051566"/>
    <w:rsid w:val="00054288"/>
    <w:rsid w:val="000562A9"/>
    <w:rsid w:val="00062A9A"/>
    <w:rsid w:val="00065058"/>
    <w:rsid w:val="00070998"/>
    <w:rsid w:val="000774AD"/>
    <w:rsid w:val="00082403"/>
    <w:rsid w:val="00086C39"/>
    <w:rsid w:val="00096395"/>
    <w:rsid w:val="000A03B2"/>
    <w:rsid w:val="000A4B4D"/>
    <w:rsid w:val="000A5321"/>
    <w:rsid w:val="000B7D41"/>
    <w:rsid w:val="000C31D4"/>
    <w:rsid w:val="000D0268"/>
    <w:rsid w:val="000D1DBD"/>
    <w:rsid w:val="000D34BE"/>
    <w:rsid w:val="000E102F"/>
    <w:rsid w:val="000E36F1"/>
    <w:rsid w:val="000E3A73"/>
    <w:rsid w:val="000E414A"/>
    <w:rsid w:val="000F093C"/>
    <w:rsid w:val="000F7294"/>
    <w:rsid w:val="000F787B"/>
    <w:rsid w:val="00105E34"/>
    <w:rsid w:val="00106880"/>
    <w:rsid w:val="00106CAF"/>
    <w:rsid w:val="0012091F"/>
    <w:rsid w:val="001238DA"/>
    <w:rsid w:val="00126058"/>
    <w:rsid w:val="00126BC2"/>
    <w:rsid w:val="001308B6"/>
    <w:rsid w:val="0013121F"/>
    <w:rsid w:val="00131FE6"/>
    <w:rsid w:val="0013263F"/>
    <w:rsid w:val="00132714"/>
    <w:rsid w:val="00132872"/>
    <w:rsid w:val="001331DF"/>
    <w:rsid w:val="00134352"/>
    <w:rsid w:val="00134DE4"/>
    <w:rsid w:val="001356F9"/>
    <w:rsid w:val="0014034D"/>
    <w:rsid w:val="00140CC2"/>
    <w:rsid w:val="00142606"/>
    <w:rsid w:val="00144D16"/>
    <w:rsid w:val="0014580D"/>
    <w:rsid w:val="001466F2"/>
    <w:rsid w:val="00150276"/>
    <w:rsid w:val="00150E59"/>
    <w:rsid w:val="00152DE3"/>
    <w:rsid w:val="00153A74"/>
    <w:rsid w:val="001553CA"/>
    <w:rsid w:val="00164CF9"/>
    <w:rsid w:val="00165616"/>
    <w:rsid w:val="00165E3C"/>
    <w:rsid w:val="001667A6"/>
    <w:rsid w:val="00175DF9"/>
    <w:rsid w:val="00184AD6"/>
    <w:rsid w:val="00187664"/>
    <w:rsid w:val="001A0AB6"/>
    <w:rsid w:val="001A4AF7"/>
    <w:rsid w:val="001B0349"/>
    <w:rsid w:val="001B0A34"/>
    <w:rsid w:val="001B1E93"/>
    <w:rsid w:val="001B65C1"/>
    <w:rsid w:val="001C3BE9"/>
    <w:rsid w:val="001C684B"/>
    <w:rsid w:val="001C74B9"/>
    <w:rsid w:val="001D0CFB"/>
    <w:rsid w:val="001D21AF"/>
    <w:rsid w:val="001D53FC"/>
    <w:rsid w:val="001E1AFA"/>
    <w:rsid w:val="001E3672"/>
    <w:rsid w:val="001F00FC"/>
    <w:rsid w:val="001F42A5"/>
    <w:rsid w:val="001F7B9D"/>
    <w:rsid w:val="001F7DE1"/>
    <w:rsid w:val="00201C93"/>
    <w:rsid w:val="00207079"/>
    <w:rsid w:val="002164BD"/>
    <w:rsid w:val="002224B4"/>
    <w:rsid w:val="0022356E"/>
    <w:rsid w:val="00223657"/>
    <w:rsid w:val="002267D5"/>
    <w:rsid w:val="00233F86"/>
    <w:rsid w:val="0023657E"/>
    <w:rsid w:val="0023773B"/>
    <w:rsid w:val="0024127F"/>
    <w:rsid w:val="002447EF"/>
    <w:rsid w:val="00251550"/>
    <w:rsid w:val="0025403B"/>
    <w:rsid w:val="0025693B"/>
    <w:rsid w:val="0026343D"/>
    <w:rsid w:val="00263B05"/>
    <w:rsid w:val="00265A87"/>
    <w:rsid w:val="00265BC8"/>
    <w:rsid w:val="002700D4"/>
    <w:rsid w:val="002703F1"/>
    <w:rsid w:val="0027221A"/>
    <w:rsid w:val="00272EFC"/>
    <w:rsid w:val="00272FFB"/>
    <w:rsid w:val="00275B61"/>
    <w:rsid w:val="00280FAF"/>
    <w:rsid w:val="00282435"/>
    <w:rsid w:val="00282656"/>
    <w:rsid w:val="0028298D"/>
    <w:rsid w:val="00283466"/>
    <w:rsid w:val="00285FFA"/>
    <w:rsid w:val="0029194C"/>
    <w:rsid w:val="00295D9F"/>
    <w:rsid w:val="00296B83"/>
    <w:rsid w:val="00297DEC"/>
    <w:rsid w:val="002A50E4"/>
    <w:rsid w:val="002B3B97"/>
    <w:rsid w:val="002B4015"/>
    <w:rsid w:val="002B62C1"/>
    <w:rsid w:val="002B78CE"/>
    <w:rsid w:val="002C2FB6"/>
    <w:rsid w:val="002D0B6F"/>
    <w:rsid w:val="002E1607"/>
    <w:rsid w:val="002E1D7A"/>
    <w:rsid w:val="002E5FA7"/>
    <w:rsid w:val="002E612E"/>
    <w:rsid w:val="002E6B7D"/>
    <w:rsid w:val="002F0944"/>
    <w:rsid w:val="002F0EFF"/>
    <w:rsid w:val="002F3309"/>
    <w:rsid w:val="003008CE"/>
    <w:rsid w:val="003009B7"/>
    <w:rsid w:val="00300E56"/>
    <w:rsid w:val="0030152C"/>
    <w:rsid w:val="0030469C"/>
    <w:rsid w:val="00311528"/>
    <w:rsid w:val="00313EC5"/>
    <w:rsid w:val="003158E5"/>
    <w:rsid w:val="00317262"/>
    <w:rsid w:val="00317E3E"/>
    <w:rsid w:val="0032139F"/>
    <w:rsid w:val="00321CA6"/>
    <w:rsid w:val="003220FF"/>
    <w:rsid w:val="00323763"/>
    <w:rsid w:val="00323C5F"/>
    <w:rsid w:val="00324D03"/>
    <w:rsid w:val="00334C09"/>
    <w:rsid w:val="00337DDD"/>
    <w:rsid w:val="00351EF5"/>
    <w:rsid w:val="003544B7"/>
    <w:rsid w:val="003645C7"/>
    <w:rsid w:val="00366BAD"/>
    <w:rsid w:val="003723D4"/>
    <w:rsid w:val="00377173"/>
    <w:rsid w:val="003814A6"/>
    <w:rsid w:val="00381905"/>
    <w:rsid w:val="00384CC8"/>
    <w:rsid w:val="003871FD"/>
    <w:rsid w:val="003940A6"/>
    <w:rsid w:val="003A03B1"/>
    <w:rsid w:val="003A1E30"/>
    <w:rsid w:val="003A2027"/>
    <w:rsid w:val="003A2829"/>
    <w:rsid w:val="003A7D1C"/>
    <w:rsid w:val="003B304B"/>
    <w:rsid w:val="003B3146"/>
    <w:rsid w:val="003D1BC2"/>
    <w:rsid w:val="003E2ADA"/>
    <w:rsid w:val="003E33B5"/>
    <w:rsid w:val="003F015E"/>
    <w:rsid w:val="00400414"/>
    <w:rsid w:val="00410068"/>
    <w:rsid w:val="00410D90"/>
    <w:rsid w:val="0041446B"/>
    <w:rsid w:val="004328DA"/>
    <w:rsid w:val="00435254"/>
    <w:rsid w:val="0044071E"/>
    <w:rsid w:val="0044329C"/>
    <w:rsid w:val="00450844"/>
    <w:rsid w:val="00453E24"/>
    <w:rsid w:val="00456FBB"/>
    <w:rsid w:val="00457456"/>
    <w:rsid w:val="004577FE"/>
    <w:rsid w:val="00457B9C"/>
    <w:rsid w:val="0046164A"/>
    <w:rsid w:val="00462010"/>
    <w:rsid w:val="004628D2"/>
    <w:rsid w:val="00462DCD"/>
    <w:rsid w:val="00463EE1"/>
    <w:rsid w:val="004648AD"/>
    <w:rsid w:val="00470175"/>
    <w:rsid w:val="004703A9"/>
    <w:rsid w:val="00470FDB"/>
    <w:rsid w:val="004760DE"/>
    <w:rsid w:val="004763D7"/>
    <w:rsid w:val="0048707D"/>
    <w:rsid w:val="00490A08"/>
    <w:rsid w:val="00497F0C"/>
    <w:rsid w:val="004A004E"/>
    <w:rsid w:val="004A24CF"/>
    <w:rsid w:val="004A3472"/>
    <w:rsid w:val="004B0032"/>
    <w:rsid w:val="004B2DE5"/>
    <w:rsid w:val="004B4092"/>
    <w:rsid w:val="004B4D9B"/>
    <w:rsid w:val="004C372F"/>
    <w:rsid w:val="004C3D1D"/>
    <w:rsid w:val="004C3D84"/>
    <w:rsid w:val="004C7913"/>
    <w:rsid w:val="004D37B6"/>
    <w:rsid w:val="004E4DD6"/>
    <w:rsid w:val="004E647E"/>
    <w:rsid w:val="004F0544"/>
    <w:rsid w:val="004F5E36"/>
    <w:rsid w:val="005004AF"/>
    <w:rsid w:val="00507B47"/>
    <w:rsid w:val="00507BEF"/>
    <w:rsid w:val="00507CC9"/>
    <w:rsid w:val="005119A5"/>
    <w:rsid w:val="005129BD"/>
    <w:rsid w:val="0051509D"/>
    <w:rsid w:val="0052685B"/>
    <w:rsid w:val="005278B7"/>
    <w:rsid w:val="00530D7D"/>
    <w:rsid w:val="00532016"/>
    <w:rsid w:val="005346C8"/>
    <w:rsid w:val="00535AB8"/>
    <w:rsid w:val="00543E7D"/>
    <w:rsid w:val="00546C70"/>
    <w:rsid w:val="00547A68"/>
    <w:rsid w:val="00550EC7"/>
    <w:rsid w:val="005531C9"/>
    <w:rsid w:val="00556128"/>
    <w:rsid w:val="00557E00"/>
    <w:rsid w:val="005617A4"/>
    <w:rsid w:val="0056739E"/>
    <w:rsid w:val="00567DBC"/>
    <w:rsid w:val="00570C43"/>
    <w:rsid w:val="00570F4B"/>
    <w:rsid w:val="005843A6"/>
    <w:rsid w:val="00596443"/>
    <w:rsid w:val="005A1C7A"/>
    <w:rsid w:val="005B2110"/>
    <w:rsid w:val="005B357F"/>
    <w:rsid w:val="005B61E6"/>
    <w:rsid w:val="005C4CB1"/>
    <w:rsid w:val="005C634C"/>
    <w:rsid w:val="005C77E1"/>
    <w:rsid w:val="005D5915"/>
    <w:rsid w:val="005D668A"/>
    <w:rsid w:val="005D6A2F"/>
    <w:rsid w:val="005E1A82"/>
    <w:rsid w:val="005E1D04"/>
    <w:rsid w:val="005E794C"/>
    <w:rsid w:val="005F0A28"/>
    <w:rsid w:val="005F0E5E"/>
    <w:rsid w:val="00600535"/>
    <w:rsid w:val="00602660"/>
    <w:rsid w:val="00610CD6"/>
    <w:rsid w:val="00614F2E"/>
    <w:rsid w:val="00620DEE"/>
    <w:rsid w:val="00621F92"/>
    <w:rsid w:val="0062280A"/>
    <w:rsid w:val="00624E59"/>
    <w:rsid w:val="006252E6"/>
    <w:rsid w:val="0062558B"/>
    <w:rsid w:val="00625639"/>
    <w:rsid w:val="006277D2"/>
    <w:rsid w:val="00630C37"/>
    <w:rsid w:val="00631B33"/>
    <w:rsid w:val="00636231"/>
    <w:rsid w:val="0064184D"/>
    <w:rsid w:val="006420C4"/>
    <w:rsid w:val="006422CC"/>
    <w:rsid w:val="006425CD"/>
    <w:rsid w:val="00644FC3"/>
    <w:rsid w:val="00650289"/>
    <w:rsid w:val="006516FA"/>
    <w:rsid w:val="00660E3E"/>
    <w:rsid w:val="00662488"/>
    <w:rsid w:val="00662795"/>
    <w:rsid w:val="00662E74"/>
    <w:rsid w:val="00680C23"/>
    <w:rsid w:val="00693766"/>
    <w:rsid w:val="00693E4E"/>
    <w:rsid w:val="006963EC"/>
    <w:rsid w:val="006A3281"/>
    <w:rsid w:val="006B1CFE"/>
    <w:rsid w:val="006B4888"/>
    <w:rsid w:val="006B71B2"/>
    <w:rsid w:val="006C2E45"/>
    <w:rsid w:val="006C359C"/>
    <w:rsid w:val="006C5579"/>
    <w:rsid w:val="006D4063"/>
    <w:rsid w:val="006D6E8B"/>
    <w:rsid w:val="006E1664"/>
    <w:rsid w:val="006E250C"/>
    <w:rsid w:val="006E737D"/>
    <w:rsid w:val="006F4BA3"/>
    <w:rsid w:val="00701C7D"/>
    <w:rsid w:val="0070529E"/>
    <w:rsid w:val="007053A4"/>
    <w:rsid w:val="007056A9"/>
    <w:rsid w:val="00707DD1"/>
    <w:rsid w:val="00712154"/>
    <w:rsid w:val="00713973"/>
    <w:rsid w:val="0071697D"/>
    <w:rsid w:val="00720A24"/>
    <w:rsid w:val="00732386"/>
    <w:rsid w:val="00734D40"/>
    <w:rsid w:val="0073514D"/>
    <w:rsid w:val="0073682E"/>
    <w:rsid w:val="0073792F"/>
    <w:rsid w:val="00737F7D"/>
    <w:rsid w:val="00744325"/>
    <w:rsid w:val="007447F3"/>
    <w:rsid w:val="007464BD"/>
    <w:rsid w:val="00747BD0"/>
    <w:rsid w:val="0075499F"/>
    <w:rsid w:val="00756AB0"/>
    <w:rsid w:val="00762F7F"/>
    <w:rsid w:val="007661C8"/>
    <w:rsid w:val="0077098D"/>
    <w:rsid w:val="00771058"/>
    <w:rsid w:val="00772080"/>
    <w:rsid w:val="00774D36"/>
    <w:rsid w:val="00782052"/>
    <w:rsid w:val="007840DC"/>
    <w:rsid w:val="007914D4"/>
    <w:rsid w:val="007931FA"/>
    <w:rsid w:val="00796B85"/>
    <w:rsid w:val="007A4861"/>
    <w:rsid w:val="007A7BBA"/>
    <w:rsid w:val="007B0C50"/>
    <w:rsid w:val="007B48F9"/>
    <w:rsid w:val="007B6C4B"/>
    <w:rsid w:val="007C1538"/>
    <w:rsid w:val="007C1722"/>
    <w:rsid w:val="007C1A43"/>
    <w:rsid w:val="007D0951"/>
    <w:rsid w:val="007D4414"/>
    <w:rsid w:val="007E646F"/>
    <w:rsid w:val="007F7CBE"/>
    <w:rsid w:val="0080013E"/>
    <w:rsid w:val="008003F7"/>
    <w:rsid w:val="0080447A"/>
    <w:rsid w:val="00804F80"/>
    <w:rsid w:val="00807DF4"/>
    <w:rsid w:val="008111EE"/>
    <w:rsid w:val="00813288"/>
    <w:rsid w:val="008160A8"/>
    <w:rsid w:val="008168FC"/>
    <w:rsid w:val="00830996"/>
    <w:rsid w:val="00832E7C"/>
    <w:rsid w:val="0083453B"/>
    <w:rsid w:val="0083457D"/>
    <w:rsid w:val="008345F1"/>
    <w:rsid w:val="008402A3"/>
    <w:rsid w:val="00852453"/>
    <w:rsid w:val="008602FE"/>
    <w:rsid w:val="008648EE"/>
    <w:rsid w:val="008656CE"/>
    <w:rsid w:val="00865B07"/>
    <w:rsid w:val="008667EA"/>
    <w:rsid w:val="0087637F"/>
    <w:rsid w:val="008765E3"/>
    <w:rsid w:val="00884506"/>
    <w:rsid w:val="00885002"/>
    <w:rsid w:val="00892786"/>
    <w:rsid w:val="00892AC4"/>
    <w:rsid w:val="00892AD5"/>
    <w:rsid w:val="008A1512"/>
    <w:rsid w:val="008A3528"/>
    <w:rsid w:val="008A4349"/>
    <w:rsid w:val="008B2149"/>
    <w:rsid w:val="008C1E71"/>
    <w:rsid w:val="008C307C"/>
    <w:rsid w:val="008C47F2"/>
    <w:rsid w:val="008C5ECF"/>
    <w:rsid w:val="008D17B0"/>
    <w:rsid w:val="008D32B9"/>
    <w:rsid w:val="008D433B"/>
    <w:rsid w:val="008D4A16"/>
    <w:rsid w:val="008D52D9"/>
    <w:rsid w:val="008E566E"/>
    <w:rsid w:val="008F18B4"/>
    <w:rsid w:val="008F47AB"/>
    <w:rsid w:val="0090161A"/>
    <w:rsid w:val="00901EB6"/>
    <w:rsid w:val="00904C62"/>
    <w:rsid w:val="00910232"/>
    <w:rsid w:val="0091397A"/>
    <w:rsid w:val="00922BA8"/>
    <w:rsid w:val="00924DAC"/>
    <w:rsid w:val="00927058"/>
    <w:rsid w:val="009328B7"/>
    <w:rsid w:val="00934A6F"/>
    <w:rsid w:val="00942750"/>
    <w:rsid w:val="009450CE"/>
    <w:rsid w:val="009459BB"/>
    <w:rsid w:val="00947179"/>
    <w:rsid w:val="0095164B"/>
    <w:rsid w:val="00954090"/>
    <w:rsid w:val="009573E7"/>
    <w:rsid w:val="00963E05"/>
    <w:rsid w:val="00964A45"/>
    <w:rsid w:val="00965C99"/>
    <w:rsid w:val="00967843"/>
    <w:rsid w:val="00967D54"/>
    <w:rsid w:val="00971028"/>
    <w:rsid w:val="00975DB4"/>
    <w:rsid w:val="00993B84"/>
    <w:rsid w:val="00996483"/>
    <w:rsid w:val="00996F5A"/>
    <w:rsid w:val="009A66F3"/>
    <w:rsid w:val="009B041A"/>
    <w:rsid w:val="009B5733"/>
    <w:rsid w:val="009B6463"/>
    <w:rsid w:val="009C37C3"/>
    <w:rsid w:val="009C7C86"/>
    <w:rsid w:val="009D2FF7"/>
    <w:rsid w:val="009E7884"/>
    <w:rsid w:val="009E788A"/>
    <w:rsid w:val="009F001D"/>
    <w:rsid w:val="009F0E08"/>
    <w:rsid w:val="00A1128C"/>
    <w:rsid w:val="00A11759"/>
    <w:rsid w:val="00A13F10"/>
    <w:rsid w:val="00A1763D"/>
    <w:rsid w:val="00A17CEC"/>
    <w:rsid w:val="00A208A1"/>
    <w:rsid w:val="00A2277D"/>
    <w:rsid w:val="00A25D2B"/>
    <w:rsid w:val="00A27EF0"/>
    <w:rsid w:val="00A30315"/>
    <w:rsid w:val="00A402BB"/>
    <w:rsid w:val="00A42361"/>
    <w:rsid w:val="00A50006"/>
    <w:rsid w:val="00A50B20"/>
    <w:rsid w:val="00A50DF4"/>
    <w:rsid w:val="00A51390"/>
    <w:rsid w:val="00A6074B"/>
    <w:rsid w:val="00A60D13"/>
    <w:rsid w:val="00A6110B"/>
    <w:rsid w:val="00A6359E"/>
    <w:rsid w:val="00A7223D"/>
    <w:rsid w:val="00A72745"/>
    <w:rsid w:val="00A72DD6"/>
    <w:rsid w:val="00A7565C"/>
    <w:rsid w:val="00A7594B"/>
    <w:rsid w:val="00A76EFC"/>
    <w:rsid w:val="00A84C14"/>
    <w:rsid w:val="00A87D50"/>
    <w:rsid w:val="00A90A6C"/>
    <w:rsid w:val="00A91010"/>
    <w:rsid w:val="00A93BE7"/>
    <w:rsid w:val="00A97F29"/>
    <w:rsid w:val="00AA20CD"/>
    <w:rsid w:val="00AA5276"/>
    <w:rsid w:val="00AA702E"/>
    <w:rsid w:val="00AA7D26"/>
    <w:rsid w:val="00AB0964"/>
    <w:rsid w:val="00AB389D"/>
    <w:rsid w:val="00AB5011"/>
    <w:rsid w:val="00AC3403"/>
    <w:rsid w:val="00AC3F12"/>
    <w:rsid w:val="00AC4C1D"/>
    <w:rsid w:val="00AC6079"/>
    <w:rsid w:val="00AC7368"/>
    <w:rsid w:val="00AD16B9"/>
    <w:rsid w:val="00AD54A4"/>
    <w:rsid w:val="00AD7DB4"/>
    <w:rsid w:val="00AE2F9A"/>
    <w:rsid w:val="00AE377D"/>
    <w:rsid w:val="00AE4206"/>
    <w:rsid w:val="00AE570F"/>
    <w:rsid w:val="00AF064E"/>
    <w:rsid w:val="00AF0EBA"/>
    <w:rsid w:val="00AF2498"/>
    <w:rsid w:val="00B02C8A"/>
    <w:rsid w:val="00B11542"/>
    <w:rsid w:val="00B133A7"/>
    <w:rsid w:val="00B17FBD"/>
    <w:rsid w:val="00B22F60"/>
    <w:rsid w:val="00B315A6"/>
    <w:rsid w:val="00B31813"/>
    <w:rsid w:val="00B33365"/>
    <w:rsid w:val="00B43B5A"/>
    <w:rsid w:val="00B44C86"/>
    <w:rsid w:val="00B46AFD"/>
    <w:rsid w:val="00B57B36"/>
    <w:rsid w:val="00B57E6F"/>
    <w:rsid w:val="00B60AE0"/>
    <w:rsid w:val="00B61A24"/>
    <w:rsid w:val="00B736C8"/>
    <w:rsid w:val="00B80047"/>
    <w:rsid w:val="00B83ADE"/>
    <w:rsid w:val="00B8686D"/>
    <w:rsid w:val="00B93F69"/>
    <w:rsid w:val="00B94090"/>
    <w:rsid w:val="00B94E6F"/>
    <w:rsid w:val="00BB1DDC"/>
    <w:rsid w:val="00BB72E8"/>
    <w:rsid w:val="00BC30C9"/>
    <w:rsid w:val="00BC3ABB"/>
    <w:rsid w:val="00BD077D"/>
    <w:rsid w:val="00BD3E83"/>
    <w:rsid w:val="00BE301B"/>
    <w:rsid w:val="00BE3E58"/>
    <w:rsid w:val="00BF3224"/>
    <w:rsid w:val="00C01616"/>
    <w:rsid w:val="00C0162B"/>
    <w:rsid w:val="00C068ED"/>
    <w:rsid w:val="00C121D4"/>
    <w:rsid w:val="00C14560"/>
    <w:rsid w:val="00C152E1"/>
    <w:rsid w:val="00C1639B"/>
    <w:rsid w:val="00C22E0C"/>
    <w:rsid w:val="00C258DC"/>
    <w:rsid w:val="00C27B50"/>
    <w:rsid w:val="00C345B1"/>
    <w:rsid w:val="00C378A7"/>
    <w:rsid w:val="00C37EA2"/>
    <w:rsid w:val="00C40142"/>
    <w:rsid w:val="00C46523"/>
    <w:rsid w:val="00C51696"/>
    <w:rsid w:val="00C52C3C"/>
    <w:rsid w:val="00C53574"/>
    <w:rsid w:val="00C57182"/>
    <w:rsid w:val="00C57863"/>
    <w:rsid w:val="00C640AF"/>
    <w:rsid w:val="00C655FD"/>
    <w:rsid w:val="00C70DD3"/>
    <w:rsid w:val="00C75407"/>
    <w:rsid w:val="00C841C6"/>
    <w:rsid w:val="00C85D52"/>
    <w:rsid w:val="00C870A8"/>
    <w:rsid w:val="00C919E5"/>
    <w:rsid w:val="00C928CE"/>
    <w:rsid w:val="00C94434"/>
    <w:rsid w:val="00CA0D75"/>
    <w:rsid w:val="00CA1C95"/>
    <w:rsid w:val="00CA3C3F"/>
    <w:rsid w:val="00CA5A9C"/>
    <w:rsid w:val="00CB20DE"/>
    <w:rsid w:val="00CB65D1"/>
    <w:rsid w:val="00CC0853"/>
    <w:rsid w:val="00CC1264"/>
    <w:rsid w:val="00CC4C20"/>
    <w:rsid w:val="00CC4D4F"/>
    <w:rsid w:val="00CD2991"/>
    <w:rsid w:val="00CD3517"/>
    <w:rsid w:val="00CD5FE2"/>
    <w:rsid w:val="00CE3694"/>
    <w:rsid w:val="00CE38BB"/>
    <w:rsid w:val="00CE7C68"/>
    <w:rsid w:val="00D01C9D"/>
    <w:rsid w:val="00D02B4C"/>
    <w:rsid w:val="00D040C4"/>
    <w:rsid w:val="00D14E32"/>
    <w:rsid w:val="00D20AD1"/>
    <w:rsid w:val="00D22BF7"/>
    <w:rsid w:val="00D2582C"/>
    <w:rsid w:val="00D26F5E"/>
    <w:rsid w:val="00D34F09"/>
    <w:rsid w:val="00D46B7E"/>
    <w:rsid w:val="00D51CA1"/>
    <w:rsid w:val="00D57C84"/>
    <w:rsid w:val="00D6057D"/>
    <w:rsid w:val="00D60A8D"/>
    <w:rsid w:val="00D6105B"/>
    <w:rsid w:val="00D71640"/>
    <w:rsid w:val="00D7379E"/>
    <w:rsid w:val="00D75D9D"/>
    <w:rsid w:val="00D778AB"/>
    <w:rsid w:val="00D80E39"/>
    <w:rsid w:val="00D81544"/>
    <w:rsid w:val="00D836C5"/>
    <w:rsid w:val="00D84576"/>
    <w:rsid w:val="00D84B54"/>
    <w:rsid w:val="00D86137"/>
    <w:rsid w:val="00D90593"/>
    <w:rsid w:val="00D94589"/>
    <w:rsid w:val="00D94D1E"/>
    <w:rsid w:val="00D95C63"/>
    <w:rsid w:val="00D95CED"/>
    <w:rsid w:val="00DA103A"/>
    <w:rsid w:val="00DA1399"/>
    <w:rsid w:val="00DA24C6"/>
    <w:rsid w:val="00DA2770"/>
    <w:rsid w:val="00DA4D7B"/>
    <w:rsid w:val="00DB0C36"/>
    <w:rsid w:val="00DB521D"/>
    <w:rsid w:val="00DC32AA"/>
    <w:rsid w:val="00DC7870"/>
    <w:rsid w:val="00DD271C"/>
    <w:rsid w:val="00DD4B76"/>
    <w:rsid w:val="00DE264A"/>
    <w:rsid w:val="00DE600F"/>
    <w:rsid w:val="00DF3C0F"/>
    <w:rsid w:val="00DF5072"/>
    <w:rsid w:val="00E02D18"/>
    <w:rsid w:val="00E041E7"/>
    <w:rsid w:val="00E0712C"/>
    <w:rsid w:val="00E213A1"/>
    <w:rsid w:val="00E23CA1"/>
    <w:rsid w:val="00E30D23"/>
    <w:rsid w:val="00E33BCA"/>
    <w:rsid w:val="00E34B5E"/>
    <w:rsid w:val="00E409A8"/>
    <w:rsid w:val="00E466F3"/>
    <w:rsid w:val="00E50C12"/>
    <w:rsid w:val="00E51C83"/>
    <w:rsid w:val="00E53085"/>
    <w:rsid w:val="00E65B91"/>
    <w:rsid w:val="00E7209D"/>
    <w:rsid w:val="00E72EAD"/>
    <w:rsid w:val="00E75AA0"/>
    <w:rsid w:val="00E77223"/>
    <w:rsid w:val="00E82EF0"/>
    <w:rsid w:val="00E8528B"/>
    <w:rsid w:val="00E85B94"/>
    <w:rsid w:val="00E90B2F"/>
    <w:rsid w:val="00E91071"/>
    <w:rsid w:val="00E92A9B"/>
    <w:rsid w:val="00E978D0"/>
    <w:rsid w:val="00EA4613"/>
    <w:rsid w:val="00EA7F91"/>
    <w:rsid w:val="00EB1523"/>
    <w:rsid w:val="00EB2BB6"/>
    <w:rsid w:val="00EB2E9B"/>
    <w:rsid w:val="00EC0E49"/>
    <w:rsid w:val="00EC101F"/>
    <w:rsid w:val="00EC1D9F"/>
    <w:rsid w:val="00ED6839"/>
    <w:rsid w:val="00EE0131"/>
    <w:rsid w:val="00EE17B0"/>
    <w:rsid w:val="00EF06D9"/>
    <w:rsid w:val="00EF123A"/>
    <w:rsid w:val="00EF474A"/>
    <w:rsid w:val="00EF606D"/>
    <w:rsid w:val="00F04338"/>
    <w:rsid w:val="00F109C1"/>
    <w:rsid w:val="00F120D9"/>
    <w:rsid w:val="00F12241"/>
    <w:rsid w:val="00F1345B"/>
    <w:rsid w:val="00F27FAA"/>
    <w:rsid w:val="00F3049E"/>
    <w:rsid w:val="00F30C64"/>
    <w:rsid w:val="00F32BA2"/>
    <w:rsid w:val="00F32CDB"/>
    <w:rsid w:val="00F41B57"/>
    <w:rsid w:val="00F41F51"/>
    <w:rsid w:val="00F4272A"/>
    <w:rsid w:val="00F433BE"/>
    <w:rsid w:val="00F5405B"/>
    <w:rsid w:val="00F56032"/>
    <w:rsid w:val="00F565FE"/>
    <w:rsid w:val="00F63A70"/>
    <w:rsid w:val="00F63D8C"/>
    <w:rsid w:val="00F663F1"/>
    <w:rsid w:val="00F66BAC"/>
    <w:rsid w:val="00F66EE9"/>
    <w:rsid w:val="00F670FA"/>
    <w:rsid w:val="00F7534E"/>
    <w:rsid w:val="00F83D5C"/>
    <w:rsid w:val="00F86CAB"/>
    <w:rsid w:val="00F93EDF"/>
    <w:rsid w:val="00FA1802"/>
    <w:rsid w:val="00FA21D0"/>
    <w:rsid w:val="00FA5F13"/>
    <w:rsid w:val="00FA5F5F"/>
    <w:rsid w:val="00FB730C"/>
    <w:rsid w:val="00FC2695"/>
    <w:rsid w:val="00FC3E03"/>
    <w:rsid w:val="00FC3FC1"/>
    <w:rsid w:val="00FC4D89"/>
    <w:rsid w:val="00FD0470"/>
    <w:rsid w:val="00FF619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0CC22"/>
  <w14:defaultImageDpi w14:val="32767"/>
  <w15:docId w15:val="{69EC4823-2B25-400D-AAEA-7DEAD48FF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D86137"/>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styleId="Revisione">
    <w:name w:val="Revision"/>
    <w:hidden/>
    <w:uiPriority w:val="99"/>
    <w:semiHidden/>
    <w:rsid w:val="008111EE"/>
    <w:pPr>
      <w:spacing w:after="0" w:line="240" w:lineRule="auto"/>
    </w:pPr>
    <w:rPr>
      <w:rFonts w:ascii="Arial" w:eastAsia="Times New Roman" w:hAnsi="Arial" w:cs="Times New Roman"/>
      <w:sz w:val="18"/>
      <w:szCs w:val="20"/>
      <w:lang w:val="en-GB"/>
    </w:rPr>
  </w:style>
  <w:style w:type="character" w:styleId="Testosegnaposto">
    <w:name w:val="Placeholder Text"/>
    <w:basedOn w:val="Carpredefinitoparagrafo"/>
    <w:uiPriority w:val="99"/>
    <w:semiHidden/>
    <w:rsid w:val="001E3672"/>
    <w:rPr>
      <w:color w:val="666666"/>
    </w:rPr>
  </w:style>
  <w:style w:type="character" w:styleId="Menzionenonrisolta">
    <w:name w:val="Unresolved Mention"/>
    <w:basedOn w:val="Carpredefinitoparagrafo"/>
    <w:uiPriority w:val="99"/>
    <w:semiHidden/>
    <w:unhideWhenUsed/>
    <w:rsid w:val="00236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61340">
      <w:bodyDiv w:val="1"/>
      <w:marLeft w:val="0"/>
      <w:marRight w:val="0"/>
      <w:marTop w:val="0"/>
      <w:marBottom w:val="0"/>
      <w:divBdr>
        <w:top w:val="none" w:sz="0" w:space="0" w:color="auto"/>
        <w:left w:val="none" w:sz="0" w:space="0" w:color="auto"/>
        <w:bottom w:val="none" w:sz="0" w:space="0" w:color="auto"/>
        <w:right w:val="none" w:sz="0" w:space="0" w:color="auto"/>
      </w:divBdr>
    </w:div>
    <w:div w:id="111217292">
      <w:bodyDiv w:val="1"/>
      <w:marLeft w:val="0"/>
      <w:marRight w:val="0"/>
      <w:marTop w:val="0"/>
      <w:marBottom w:val="0"/>
      <w:divBdr>
        <w:top w:val="none" w:sz="0" w:space="0" w:color="auto"/>
        <w:left w:val="none" w:sz="0" w:space="0" w:color="auto"/>
        <w:bottom w:val="none" w:sz="0" w:space="0" w:color="auto"/>
        <w:right w:val="none" w:sz="0" w:space="0" w:color="auto"/>
      </w:divBdr>
    </w:div>
    <w:div w:id="202375966">
      <w:bodyDiv w:val="1"/>
      <w:marLeft w:val="0"/>
      <w:marRight w:val="0"/>
      <w:marTop w:val="0"/>
      <w:marBottom w:val="0"/>
      <w:divBdr>
        <w:top w:val="none" w:sz="0" w:space="0" w:color="auto"/>
        <w:left w:val="none" w:sz="0" w:space="0" w:color="auto"/>
        <w:bottom w:val="none" w:sz="0" w:space="0" w:color="auto"/>
        <w:right w:val="none" w:sz="0" w:space="0" w:color="auto"/>
      </w:divBdr>
    </w:div>
    <w:div w:id="238101421">
      <w:bodyDiv w:val="1"/>
      <w:marLeft w:val="0"/>
      <w:marRight w:val="0"/>
      <w:marTop w:val="0"/>
      <w:marBottom w:val="0"/>
      <w:divBdr>
        <w:top w:val="none" w:sz="0" w:space="0" w:color="auto"/>
        <w:left w:val="none" w:sz="0" w:space="0" w:color="auto"/>
        <w:bottom w:val="none" w:sz="0" w:space="0" w:color="auto"/>
        <w:right w:val="none" w:sz="0" w:space="0" w:color="auto"/>
      </w:divBdr>
    </w:div>
    <w:div w:id="293103652">
      <w:bodyDiv w:val="1"/>
      <w:marLeft w:val="0"/>
      <w:marRight w:val="0"/>
      <w:marTop w:val="0"/>
      <w:marBottom w:val="0"/>
      <w:divBdr>
        <w:top w:val="none" w:sz="0" w:space="0" w:color="auto"/>
        <w:left w:val="none" w:sz="0" w:space="0" w:color="auto"/>
        <w:bottom w:val="none" w:sz="0" w:space="0" w:color="auto"/>
        <w:right w:val="none" w:sz="0" w:space="0" w:color="auto"/>
      </w:divBdr>
    </w:div>
    <w:div w:id="335621498">
      <w:bodyDiv w:val="1"/>
      <w:marLeft w:val="0"/>
      <w:marRight w:val="0"/>
      <w:marTop w:val="0"/>
      <w:marBottom w:val="0"/>
      <w:divBdr>
        <w:top w:val="none" w:sz="0" w:space="0" w:color="auto"/>
        <w:left w:val="none" w:sz="0" w:space="0" w:color="auto"/>
        <w:bottom w:val="none" w:sz="0" w:space="0" w:color="auto"/>
        <w:right w:val="none" w:sz="0" w:space="0" w:color="auto"/>
      </w:divBdr>
    </w:div>
    <w:div w:id="391806361">
      <w:bodyDiv w:val="1"/>
      <w:marLeft w:val="0"/>
      <w:marRight w:val="0"/>
      <w:marTop w:val="0"/>
      <w:marBottom w:val="0"/>
      <w:divBdr>
        <w:top w:val="none" w:sz="0" w:space="0" w:color="auto"/>
        <w:left w:val="none" w:sz="0" w:space="0" w:color="auto"/>
        <w:bottom w:val="none" w:sz="0" w:space="0" w:color="auto"/>
        <w:right w:val="none" w:sz="0" w:space="0" w:color="auto"/>
      </w:divBdr>
      <w:divsChild>
        <w:div w:id="232156001">
          <w:marLeft w:val="480"/>
          <w:marRight w:val="0"/>
          <w:marTop w:val="0"/>
          <w:marBottom w:val="0"/>
          <w:divBdr>
            <w:top w:val="none" w:sz="0" w:space="0" w:color="auto"/>
            <w:left w:val="none" w:sz="0" w:space="0" w:color="auto"/>
            <w:bottom w:val="none" w:sz="0" w:space="0" w:color="auto"/>
            <w:right w:val="none" w:sz="0" w:space="0" w:color="auto"/>
          </w:divBdr>
        </w:div>
        <w:div w:id="273488533">
          <w:marLeft w:val="480"/>
          <w:marRight w:val="0"/>
          <w:marTop w:val="0"/>
          <w:marBottom w:val="0"/>
          <w:divBdr>
            <w:top w:val="none" w:sz="0" w:space="0" w:color="auto"/>
            <w:left w:val="none" w:sz="0" w:space="0" w:color="auto"/>
            <w:bottom w:val="none" w:sz="0" w:space="0" w:color="auto"/>
            <w:right w:val="none" w:sz="0" w:space="0" w:color="auto"/>
          </w:divBdr>
        </w:div>
        <w:div w:id="1555042803">
          <w:marLeft w:val="480"/>
          <w:marRight w:val="0"/>
          <w:marTop w:val="0"/>
          <w:marBottom w:val="0"/>
          <w:divBdr>
            <w:top w:val="none" w:sz="0" w:space="0" w:color="auto"/>
            <w:left w:val="none" w:sz="0" w:space="0" w:color="auto"/>
            <w:bottom w:val="none" w:sz="0" w:space="0" w:color="auto"/>
            <w:right w:val="none" w:sz="0" w:space="0" w:color="auto"/>
          </w:divBdr>
        </w:div>
        <w:div w:id="811944121">
          <w:marLeft w:val="480"/>
          <w:marRight w:val="0"/>
          <w:marTop w:val="0"/>
          <w:marBottom w:val="0"/>
          <w:divBdr>
            <w:top w:val="none" w:sz="0" w:space="0" w:color="auto"/>
            <w:left w:val="none" w:sz="0" w:space="0" w:color="auto"/>
            <w:bottom w:val="none" w:sz="0" w:space="0" w:color="auto"/>
            <w:right w:val="none" w:sz="0" w:space="0" w:color="auto"/>
          </w:divBdr>
        </w:div>
        <w:div w:id="2014916485">
          <w:marLeft w:val="480"/>
          <w:marRight w:val="0"/>
          <w:marTop w:val="0"/>
          <w:marBottom w:val="0"/>
          <w:divBdr>
            <w:top w:val="none" w:sz="0" w:space="0" w:color="auto"/>
            <w:left w:val="none" w:sz="0" w:space="0" w:color="auto"/>
            <w:bottom w:val="none" w:sz="0" w:space="0" w:color="auto"/>
            <w:right w:val="none" w:sz="0" w:space="0" w:color="auto"/>
          </w:divBdr>
        </w:div>
        <w:div w:id="418644090">
          <w:marLeft w:val="480"/>
          <w:marRight w:val="0"/>
          <w:marTop w:val="0"/>
          <w:marBottom w:val="0"/>
          <w:divBdr>
            <w:top w:val="none" w:sz="0" w:space="0" w:color="auto"/>
            <w:left w:val="none" w:sz="0" w:space="0" w:color="auto"/>
            <w:bottom w:val="none" w:sz="0" w:space="0" w:color="auto"/>
            <w:right w:val="none" w:sz="0" w:space="0" w:color="auto"/>
          </w:divBdr>
        </w:div>
        <w:div w:id="1240943350">
          <w:marLeft w:val="480"/>
          <w:marRight w:val="0"/>
          <w:marTop w:val="0"/>
          <w:marBottom w:val="0"/>
          <w:divBdr>
            <w:top w:val="none" w:sz="0" w:space="0" w:color="auto"/>
            <w:left w:val="none" w:sz="0" w:space="0" w:color="auto"/>
            <w:bottom w:val="none" w:sz="0" w:space="0" w:color="auto"/>
            <w:right w:val="none" w:sz="0" w:space="0" w:color="auto"/>
          </w:divBdr>
        </w:div>
        <w:div w:id="1499997760">
          <w:marLeft w:val="480"/>
          <w:marRight w:val="0"/>
          <w:marTop w:val="0"/>
          <w:marBottom w:val="0"/>
          <w:divBdr>
            <w:top w:val="none" w:sz="0" w:space="0" w:color="auto"/>
            <w:left w:val="none" w:sz="0" w:space="0" w:color="auto"/>
            <w:bottom w:val="none" w:sz="0" w:space="0" w:color="auto"/>
            <w:right w:val="none" w:sz="0" w:space="0" w:color="auto"/>
          </w:divBdr>
        </w:div>
        <w:div w:id="45031597">
          <w:marLeft w:val="480"/>
          <w:marRight w:val="0"/>
          <w:marTop w:val="0"/>
          <w:marBottom w:val="0"/>
          <w:divBdr>
            <w:top w:val="none" w:sz="0" w:space="0" w:color="auto"/>
            <w:left w:val="none" w:sz="0" w:space="0" w:color="auto"/>
            <w:bottom w:val="none" w:sz="0" w:space="0" w:color="auto"/>
            <w:right w:val="none" w:sz="0" w:space="0" w:color="auto"/>
          </w:divBdr>
        </w:div>
      </w:divsChild>
    </w:div>
    <w:div w:id="457528955">
      <w:bodyDiv w:val="1"/>
      <w:marLeft w:val="0"/>
      <w:marRight w:val="0"/>
      <w:marTop w:val="0"/>
      <w:marBottom w:val="0"/>
      <w:divBdr>
        <w:top w:val="none" w:sz="0" w:space="0" w:color="auto"/>
        <w:left w:val="none" w:sz="0" w:space="0" w:color="auto"/>
        <w:bottom w:val="none" w:sz="0" w:space="0" w:color="auto"/>
        <w:right w:val="none" w:sz="0" w:space="0" w:color="auto"/>
      </w:divBdr>
    </w:div>
    <w:div w:id="479268284">
      <w:bodyDiv w:val="1"/>
      <w:marLeft w:val="0"/>
      <w:marRight w:val="0"/>
      <w:marTop w:val="0"/>
      <w:marBottom w:val="0"/>
      <w:divBdr>
        <w:top w:val="none" w:sz="0" w:space="0" w:color="auto"/>
        <w:left w:val="none" w:sz="0" w:space="0" w:color="auto"/>
        <w:bottom w:val="none" w:sz="0" w:space="0" w:color="auto"/>
        <w:right w:val="none" w:sz="0" w:space="0" w:color="auto"/>
      </w:divBdr>
      <w:divsChild>
        <w:div w:id="1232420628">
          <w:marLeft w:val="480"/>
          <w:marRight w:val="0"/>
          <w:marTop w:val="0"/>
          <w:marBottom w:val="0"/>
          <w:divBdr>
            <w:top w:val="none" w:sz="0" w:space="0" w:color="auto"/>
            <w:left w:val="none" w:sz="0" w:space="0" w:color="auto"/>
            <w:bottom w:val="none" w:sz="0" w:space="0" w:color="auto"/>
            <w:right w:val="none" w:sz="0" w:space="0" w:color="auto"/>
          </w:divBdr>
        </w:div>
        <w:div w:id="22438824">
          <w:marLeft w:val="480"/>
          <w:marRight w:val="0"/>
          <w:marTop w:val="0"/>
          <w:marBottom w:val="0"/>
          <w:divBdr>
            <w:top w:val="none" w:sz="0" w:space="0" w:color="auto"/>
            <w:left w:val="none" w:sz="0" w:space="0" w:color="auto"/>
            <w:bottom w:val="none" w:sz="0" w:space="0" w:color="auto"/>
            <w:right w:val="none" w:sz="0" w:space="0" w:color="auto"/>
          </w:divBdr>
        </w:div>
        <w:div w:id="1178957194">
          <w:marLeft w:val="480"/>
          <w:marRight w:val="0"/>
          <w:marTop w:val="0"/>
          <w:marBottom w:val="0"/>
          <w:divBdr>
            <w:top w:val="none" w:sz="0" w:space="0" w:color="auto"/>
            <w:left w:val="none" w:sz="0" w:space="0" w:color="auto"/>
            <w:bottom w:val="none" w:sz="0" w:space="0" w:color="auto"/>
            <w:right w:val="none" w:sz="0" w:space="0" w:color="auto"/>
          </w:divBdr>
        </w:div>
        <w:div w:id="1638684177">
          <w:marLeft w:val="480"/>
          <w:marRight w:val="0"/>
          <w:marTop w:val="0"/>
          <w:marBottom w:val="0"/>
          <w:divBdr>
            <w:top w:val="none" w:sz="0" w:space="0" w:color="auto"/>
            <w:left w:val="none" w:sz="0" w:space="0" w:color="auto"/>
            <w:bottom w:val="none" w:sz="0" w:space="0" w:color="auto"/>
            <w:right w:val="none" w:sz="0" w:space="0" w:color="auto"/>
          </w:divBdr>
        </w:div>
        <w:div w:id="2071229355">
          <w:marLeft w:val="480"/>
          <w:marRight w:val="0"/>
          <w:marTop w:val="0"/>
          <w:marBottom w:val="0"/>
          <w:divBdr>
            <w:top w:val="none" w:sz="0" w:space="0" w:color="auto"/>
            <w:left w:val="none" w:sz="0" w:space="0" w:color="auto"/>
            <w:bottom w:val="none" w:sz="0" w:space="0" w:color="auto"/>
            <w:right w:val="none" w:sz="0" w:space="0" w:color="auto"/>
          </w:divBdr>
        </w:div>
        <w:div w:id="106395056">
          <w:marLeft w:val="480"/>
          <w:marRight w:val="0"/>
          <w:marTop w:val="0"/>
          <w:marBottom w:val="0"/>
          <w:divBdr>
            <w:top w:val="none" w:sz="0" w:space="0" w:color="auto"/>
            <w:left w:val="none" w:sz="0" w:space="0" w:color="auto"/>
            <w:bottom w:val="none" w:sz="0" w:space="0" w:color="auto"/>
            <w:right w:val="none" w:sz="0" w:space="0" w:color="auto"/>
          </w:divBdr>
        </w:div>
        <w:div w:id="351031435">
          <w:marLeft w:val="480"/>
          <w:marRight w:val="0"/>
          <w:marTop w:val="0"/>
          <w:marBottom w:val="0"/>
          <w:divBdr>
            <w:top w:val="none" w:sz="0" w:space="0" w:color="auto"/>
            <w:left w:val="none" w:sz="0" w:space="0" w:color="auto"/>
            <w:bottom w:val="none" w:sz="0" w:space="0" w:color="auto"/>
            <w:right w:val="none" w:sz="0" w:space="0" w:color="auto"/>
          </w:divBdr>
        </w:div>
        <w:div w:id="37945897">
          <w:marLeft w:val="480"/>
          <w:marRight w:val="0"/>
          <w:marTop w:val="0"/>
          <w:marBottom w:val="0"/>
          <w:divBdr>
            <w:top w:val="none" w:sz="0" w:space="0" w:color="auto"/>
            <w:left w:val="none" w:sz="0" w:space="0" w:color="auto"/>
            <w:bottom w:val="none" w:sz="0" w:space="0" w:color="auto"/>
            <w:right w:val="none" w:sz="0" w:space="0" w:color="auto"/>
          </w:divBdr>
        </w:div>
        <w:div w:id="1792822495">
          <w:marLeft w:val="480"/>
          <w:marRight w:val="0"/>
          <w:marTop w:val="0"/>
          <w:marBottom w:val="0"/>
          <w:divBdr>
            <w:top w:val="none" w:sz="0" w:space="0" w:color="auto"/>
            <w:left w:val="none" w:sz="0" w:space="0" w:color="auto"/>
            <w:bottom w:val="none" w:sz="0" w:space="0" w:color="auto"/>
            <w:right w:val="none" w:sz="0" w:space="0" w:color="auto"/>
          </w:divBdr>
        </w:div>
      </w:divsChild>
    </w:div>
    <w:div w:id="589779346">
      <w:bodyDiv w:val="1"/>
      <w:marLeft w:val="0"/>
      <w:marRight w:val="0"/>
      <w:marTop w:val="0"/>
      <w:marBottom w:val="0"/>
      <w:divBdr>
        <w:top w:val="none" w:sz="0" w:space="0" w:color="auto"/>
        <w:left w:val="none" w:sz="0" w:space="0" w:color="auto"/>
        <w:bottom w:val="none" w:sz="0" w:space="0" w:color="auto"/>
        <w:right w:val="none" w:sz="0" w:space="0" w:color="auto"/>
      </w:divBdr>
    </w:div>
    <w:div w:id="645208105">
      <w:bodyDiv w:val="1"/>
      <w:marLeft w:val="0"/>
      <w:marRight w:val="0"/>
      <w:marTop w:val="0"/>
      <w:marBottom w:val="0"/>
      <w:divBdr>
        <w:top w:val="none" w:sz="0" w:space="0" w:color="auto"/>
        <w:left w:val="none" w:sz="0" w:space="0" w:color="auto"/>
        <w:bottom w:val="none" w:sz="0" w:space="0" w:color="auto"/>
        <w:right w:val="none" w:sz="0" w:space="0" w:color="auto"/>
      </w:divBdr>
    </w:div>
    <w:div w:id="647587259">
      <w:bodyDiv w:val="1"/>
      <w:marLeft w:val="0"/>
      <w:marRight w:val="0"/>
      <w:marTop w:val="0"/>
      <w:marBottom w:val="0"/>
      <w:divBdr>
        <w:top w:val="none" w:sz="0" w:space="0" w:color="auto"/>
        <w:left w:val="none" w:sz="0" w:space="0" w:color="auto"/>
        <w:bottom w:val="none" w:sz="0" w:space="0" w:color="auto"/>
        <w:right w:val="none" w:sz="0" w:space="0" w:color="auto"/>
      </w:divBdr>
    </w:div>
    <w:div w:id="696465967">
      <w:bodyDiv w:val="1"/>
      <w:marLeft w:val="0"/>
      <w:marRight w:val="0"/>
      <w:marTop w:val="0"/>
      <w:marBottom w:val="0"/>
      <w:divBdr>
        <w:top w:val="none" w:sz="0" w:space="0" w:color="auto"/>
        <w:left w:val="none" w:sz="0" w:space="0" w:color="auto"/>
        <w:bottom w:val="none" w:sz="0" w:space="0" w:color="auto"/>
        <w:right w:val="none" w:sz="0" w:space="0" w:color="auto"/>
      </w:divBdr>
      <w:divsChild>
        <w:div w:id="93406065">
          <w:marLeft w:val="480"/>
          <w:marRight w:val="0"/>
          <w:marTop w:val="0"/>
          <w:marBottom w:val="0"/>
          <w:divBdr>
            <w:top w:val="none" w:sz="0" w:space="0" w:color="auto"/>
            <w:left w:val="none" w:sz="0" w:space="0" w:color="auto"/>
            <w:bottom w:val="none" w:sz="0" w:space="0" w:color="auto"/>
            <w:right w:val="none" w:sz="0" w:space="0" w:color="auto"/>
          </w:divBdr>
        </w:div>
        <w:div w:id="1919754081">
          <w:marLeft w:val="480"/>
          <w:marRight w:val="0"/>
          <w:marTop w:val="0"/>
          <w:marBottom w:val="0"/>
          <w:divBdr>
            <w:top w:val="none" w:sz="0" w:space="0" w:color="auto"/>
            <w:left w:val="none" w:sz="0" w:space="0" w:color="auto"/>
            <w:bottom w:val="none" w:sz="0" w:space="0" w:color="auto"/>
            <w:right w:val="none" w:sz="0" w:space="0" w:color="auto"/>
          </w:divBdr>
        </w:div>
        <w:div w:id="1801336876">
          <w:marLeft w:val="480"/>
          <w:marRight w:val="0"/>
          <w:marTop w:val="0"/>
          <w:marBottom w:val="0"/>
          <w:divBdr>
            <w:top w:val="none" w:sz="0" w:space="0" w:color="auto"/>
            <w:left w:val="none" w:sz="0" w:space="0" w:color="auto"/>
            <w:bottom w:val="none" w:sz="0" w:space="0" w:color="auto"/>
            <w:right w:val="none" w:sz="0" w:space="0" w:color="auto"/>
          </w:divBdr>
        </w:div>
        <w:div w:id="104928215">
          <w:marLeft w:val="480"/>
          <w:marRight w:val="0"/>
          <w:marTop w:val="0"/>
          <w:marBottom w:val="0"/>
          <w:divBdr>
            <w:top w:val="none" w:sz="0" w:space="0" w:color="auto"/>
            <w:left w:val="none" w:sz="0" w:space="0" w:color="auto"/>
            <w:bottom w:val="none" w:sz="0" w:space="0" w:color="auto"/>
            <w:right w:val="none" w:sz="0" w:space="0" w:color="auto"/>
          </w:divBdr>
        </w:div>
        <w:div w:id="1064716396">
          <w:marLeft w:val="480"/>
          <w:marRight w:val="0"/>
          <w:marTop w:val="0"/>
          <w:marBottom w:val="0"/>
          <w:divBdr>
            <w:top w:val="none" w:sz="0" w:space="0" w:color="auto"/>
            <w:left w:val="none" w:sz="0" w:space="0" w:color="auto"/>
            <w:bottom w:val="none" w:sz="0" w:space="0" w:color="auto"/>
            <w:right w:val="none" w:sz="0" w:space="0" w:color="auto"/>
          </w:divBdr>
        </w:div>
        <w:div w:id="1739593019">
          <w:marLeft w:val="480"/>
          <w:marRight w:val="0"/>
          <w:marTop w:val="0"/>
          <w:marBottom w:val="0"/>
          <w:divBdr>
            <w:top w:val="none" w:sz="0" w:space="0" w:color="auto"/>
            <w:left w:val="none" w:sz="0" w:space="0" w:color="auto"/>
            <w:bottom w:val="none" w:sz="0" w:space="0" w:color="auto"/>
            <w:right w:val="none" w:sz="0" w:space="0" w:color="auto"/>
          </w:divBdr>
        </w:div>
        <w:div w:id="399406522">
          <w:marLeft w:val="480"/>
          <w:marRight w:val="0"/>
          <w:marTop w:val="0"/>
          <w:marBottom w:val="0"/>
          <w:divBdr>
            <w:top w:val="none" w:sz="0" w:space="0" w:color="auto"/>
            <w:left w:val="none" w:sz="0" w:space="0" w:color="auto"/>
            <w:bottom w:val="none" w:sz="0" w:space="0" w:color="auto"/>
            <w:right w:val="none" w:sz="0" w:space="0" w:color="auto"/>
          </w:divBdr>
        </w:div>
        <w:div w:id="2031836025">
          <w:marLeft w:val="480"/>
          <w:marRight w:val="0"/>
          <w:marTop w:val="0"/>
          <w:marBottom w:val="0"/>
          <w:divBdr>
            <w:top w:val="none" w:sz="0" w:space="0" w:color="auto"/>
            <w:left w:val="none" w:sz="0" w:space="0" w:color="auto"/>
            <w:bottom w:val="none" w:sz="0" w:space="0" w:color="auto"/>
            <w:right w:val="none" w:sz="0" w:space="0" w:color="auto"/>
          </w:divBdr>
        </w:div>
        <w:div w:id="1141386655">
          <w:marLeft w:val="480"/>
          <w:marRight w:val="0"/>
          <w:marTop w:val="0"/>
          <w:marBottom w:val="0"/>
          <w:divBdr>
            <w:top w:val="none" w:sz="0" w:space="0" w:color="auto"/>
            <w:left w:val="none" w:sz="0" w:space="0" w:color="auto"/>
            <w:bottom w:val="none" w:sz="0" w:space="0" w:color="auto"/>
            <w:right w:val="none" w:sz="0" w:space="0" w:color="auto"/>
          </w:divBdr>
        </w:div>
        <w:div w:id="967204445">
          <w:marLeft w:val="480"/>
          <w:marRight w:val="0"/>
          <w:marTop w:val="0"/>
          <w:marBottom w:val="0"/>
          <w:divBdr>
            <w:top w:val="none" w:sz="0" w:space="0" w:color="auto"/>
            <w:left w:val="none" w:sz="0" w:space="0" w:color="auto"/>
            <w:bottom w:val="none" w:sz="0" w:space="0" w:color="auto"/>
            <w:right w:val="none" w:sz="0" w:space="0" w:color="auto"/>
          </w:divBdr>
        </w:div>
        <w:div w:id="981427789">
          <w:marLeft w:val="480"/>
          <w:marRight w:val="0"/>
          <w:marTop w:val="0"/>
          <w:marBottom w:val="0"/>
          <w:divBdr>
            <w:top w:val="none" w:sz="0" w:space="0" w:color="auto"/>
            <w:left w:val="none" w:sz="0" w:space="0" w:color="auto"/>
            <w:bottom w:val="none" w:sz="0" w:space="0" w:color="auto"/>
            <w:right w:val="none" w:sz="0" w:space="0" w:color="auto"/>
          </w:divBdr>
        </w:div>
        <w:div w:id="866798725">
          <w:marLeft w:val="48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726">
      <w:bodyDiv w:val="1"/>
      <w:marLeft w:val="0"/>
      <w:marRight w:val="0"/>
      <w:marTop w:val="0"/>
      <w:marBottom w:val="0"/>
      <w:divBdr>
        <w:top w:val="none" w:sz="0" w:space="0" w:color="auto"/>
        <w:left w:val="none" w:sz="0" w:space="0" w:color="auto"/>
        <w:bottom w:val="none" w:sz="0" w:space="0" w:color="auto"/>
        <w:right w:val="none" w:sz="0" w:space="0" w:color="auto"/>
      </w:divBdr>
    </w:div>
    <w:div w:id="801533658">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1719094">
      <w:bodyDiv w:val="1"/>
      <w:marLeft w:val="0"/>
      <w:marRight w:val="0"/>
      <w:marTop w:val="0"/>
      <w:marBottom w:val="0"/>
      <w:divBdr>
        <w:top w:val="none" w:sz="0" w:space="0" w:color="auto"/>
        <w:left w:val="none" w:sz="0" w:space="0" w:color="auto"/>
        <w:bottom w:val="none" w:sz="0" w:space="0" w:color="auto"/>
        <w:right w:val="none" w:sz="0" w:space="0" w:color="auto"/>
      </w:divBdr>
      <w:divsChild>
        <w:div w:id="1983652450">
          <w:marLeft w:val="480"/>
          <w:marRight w:val="0"/>
          <w:marTop w:val="0"/>
          <w:marBottom w:val="0"/>
          <w:divBdr>
            <w:top w:val="none" w:sz="0" w:space="0" w:color="auto"/>
            <w:left w:val="none" w:sz="0" w:space="0" w:color="auto"/>
            <w:bottom w:val="none" w:sz="0" w:space="0" w:color="auto"/>
            <w:right w:val="none" w:sz="0" w:space="0" w:color="auto"/>
          </w:divBdr>
        </w:div>
        <w:div w:id="598610656">
          <w:marLeft w:val="480"/>
          <w:marRight w:val="0"/>
          <w:marTop w:val="0"/>
          <w:marBottom w:val="0"/>
          <w:divBdr>
            <w:top w:val="none" w:sz="0" w:space="0" w:color="auto"/>
            <w:left w:val="none" w:sz="0" w:space="0" w:color="auto"/>
            <w:bottom w:val="none" w:sz="0" w:space="0" w:color="auto"/>
            <w:right w:val="none" w:sz="0" w:space="0" w:color="auto"/>
          </w:divBdr>
        </w:div>
        <w:div w:id="645087733">
          <w:marLeft w:val="480"/>
          <w:marRight w:val="0"/>
          <w:marTop w:val="0"/>
          <w:marBottom w:val="0"/>
          <w:divBdr>
            <w:top w:val="none" w:sz="0" w:space="0" w:color="auto"/>
            <w:left w:val="none" w:sz="0" w:space="0" w:color="auto"/>
            <w:bottom w:val="none" w:sz="0" w:space="0" w:color="auto"/>
            <w:right w:val="none" w:sz="0" w:space="0" w:color="auto"/>
          </w:divBdr>
        </w:div>
        <w:div w:id="1620644969">
          <w:marLeft w:val="480"/>
          <w:marRight w:val="0"/>
          <w:marTop w:val="0"/>
          <w:marBottom w:val="0"/>
          <w:divBdr>
            <w:top w:val="none" w:sz="0" w:space="0" w:color="auto"/>
            <w:left w:val="none" w:sz="0" w:space="0" w:color="auto"/>
            <w:bottom w:val="none" w:sz="0" w:space="0" w:color="auto"/>
            <w:right w:val="none" w:sz="0" w:space="0" w:color="auto"/>
          </w:divBdr>
        </w:div>
        <w:div w:id="7031005">
          <w:marLeft w:val="480"/>
          <w:marRight w:val="0"/>
          <w:marTop w:val="0"/>
          <w:marBottom w:val="0"/>
          <w:divBdr>
            <w:top w:val="none" w:sz="0" w:space="0" w:color="auto"/>
            <w:left w:val="none" w:sz="0" w:space="0" w:color="auto"/>
            <w:bottom w:val="none" w:sz="0" w:space="0" w:color="auto"/>
            <w:right w:val="none" w:sz="0" w:space="0" w:color="auto"/>
          </w:divBdr>
        </w:div>
        <w:div w:id="1728651829">
          <w:marLeft w:val="480"/>
          <w:marRight w:val="0"/>
          <w:marTop w:val="0"/>
          <w:marBottom w:val="0"/>
          <w:divBdr>
            <w:top w:val="none" w:sz="0" w:space="0" w:color="auto"/>
            <w:left w:val="none" w:sz="0" w:space="0" w:color="auto"/>
            <w:bottom w:val="none" w:sz="0" w:space="0" w:color="auto"/>
            <w:right w:val="none" w:sz="0" w:space="0" w:color="auto"/>
          </w:divBdr>
        </w:div>
        <w:div w:id="1504776623">
          <w:marLeft w:val="480"/>
          <w:marRight w:val="0"/>
          <w:marTop w:val="0"/>
          <w:marBottom w:val="0"/>
          <w:divBdr>
            <w:top w:val="none" w:sz="0" w:space="0" w:color="auto"/>
            <w:left w:val="none" w:sz="0" w:space="0" w:color="auto"/>
            <w:bottom w:val="none" w:sz="0" w:space="0" w:color="auto"/>
            <w:right w:val="none" w:sz="0" w:space="0" w:color="auto"/>
          </w:divBdr>
        </w:div>
        <w:div w:id="25372224">
          <w:marLeft w:val="480"/>
          <w:marRight w:val="0"/>
          <w:marTop w:val="0"/>
          <w:marBottom w:val="0"/>
          <w:divBdr>
            <w:top w:val="none" w:sz="0" w:space="0" w:color="auto"/>
            <w:left w:val="none" w:sz="0" w:space="0" w:color="auto"/>
            <w:bottom w:val="none" w:sz="0" w:space="0" w:color="auto"/>
            <w:right w:val="none" w:sz="0" w:space="0" w:color="auto"/>
          </w:divBdr>
        </w:div>
        <w:div w:id="149449795">
          <w:marLeft w:val="480"/>
          <w:marRight w:val="0"/>
          <w:marTop w:val="0"/>
          <w:marBottom w:val="0"/>
          <w:divBdr>
            <w:top w:val="none" w:sz="0" w:space="0" w:color="auto"/>
            <w:left w:val="none" w:sz="0" w:space="0" w:color="auto"/>
            <w:bottom w:val="none" w:sz="0" w:space="0" w:color="auto"/>
            <w:right w:val="none" w:sz="0" w:space="0" w:color="auto"/>
          </w:divBdr>
        </w:div>
        <w:div w:id="1957982682">
          <w:marLeft w:val="480"/>
          <w:marRight w:val="0"/>
          <w:marTop w:val="0"/>
          <w:marBottom w:val="0"/>
          <w:divBdr>
            <w:top w:val="none" w:sz="0" w:space="0" w:color="auto"/>
            <w:left w:val="none" w:sz="0" w:space="0" w:color="auto"/>
            <w:bottom w:val="none" w:sz="0" w:space="0" w:color="auto"/>
            <w:right w:val="none" w:sz="0" w:space="0" w:color="auto"/>
          </w:divBdr>
        </w:div>
        <w:div w:id="1651902806">
          <w:marLeft w:val="480"/>
          <w:marRight w:val="0"/>
          <w:marTop w:val="0"/>
          <w:marBottom w:val="0"/>
          <w:divBdr>
            <w:top w:val="none" w:sz="0" w:space="0" w:color="auto"/>
            <w:left w:val="none" w:sz="0" w:space="0" w:color="auto"/>
            <w:bottom w:val="none" w:sz="0" w:space="0" w:color="auto"/>
            <w:right w:val="none" w:sz="0" w:space="0" w:color="auto"/>
          </w:divBdr>
        </w:div>
      </w:divsChild>
    </w:div>
    <w:div w:id="923802540">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16654">
      <w:bodyDiv w:val="1"/>
      <w:marLeft w:val="0"/>
      <w:marRight w:val="0"/>
      <w:marTop w:val="0"/>
      <w:marBottom w:val="0"/>
      <w:divBdr>
        <w:top w:val="none" w:sz="0" w:space="0" w:color="auto"/>
        <w:left w:val="none" w:sz="0" w:space="0" w:color="auto"/>
        <w:bottom w:val="none" w:sz="0" w:space="0" w:color="auto"/>
        <w:right w:val="none" w:sz="0" w:space="0" w:color="auto"/>
      </w:divBdr>
    </w:div>
    <w:div w:id="955409441">
      <w:bodyDiv w:val="1"/>
      <w:marLeft w:val="0"/>
      <w:marRight w:val="0"/>
      <w:marTop w:val="0"/>
      <w:marBottom w:val="0"/>
      <w:divBdr>
        <w:top w:val="none" w:sz="0" w:space="0" w:color="auto"/>
        <w:left w:val="none" w:sz="0" w:space="0" w:color="auto"/>
        <w:bottom w:val="none" w:sz="0" w:space="0" w:color="auto"/>
        <w:right w:val="none" w:sz="0" w:space="0" w:color="auto"/>
      </w:divBdr>
      <w:divsChild>
        <w:div w:id="1511330945">
          <w:marLeft w:val="480"/>
          <w:marRight w:val="0"/>
          <w:marTop w:val="0"/>
          <w:marBottom w:val="0"/>
          <w:divBdr>
            <w:top w:val="none" w:sz="0" w:space="0" w:color="auto"/>
            <w:left w:val="none" w:sz="0" w:space="0" w:color="auto"/>
            <w:bottom w:val="none" w:sz="0" w:space="0" w:color="auto"/>
            <w:right w:val="none" w:sz="0" w:space="0" w:color="auto"/>
          </w:divBdr>
        </w:div>
        <w:div w:id="862673549">
          <w:marLeft w:val="480"/>
          <w:marRight w:val="0"/>
          <w:marTop w:val="0"/>
          <w:marBottom w:val="0"/>
          <w:divBdr>
            <w:top w:val="none" w:sz="0" w:space="0" w:color="auto"/>
            <w:left w:val="none" w:sz="0" w:space="0" w:color="auto"/>
            <w:bottom w:val="none" w:sz="0" w:space="0" w:color="auto"/>
            <w:right w:val="none" w:sz="0" w:space="0" w:color="auto"/>
          </w:divBdr>
        </w:div>
        <w:div w:id="2040742388">
          <w:marLeft w:val="480"/>
          <w:marRight w:val="0"/>
          <w:marTop w:val="0"/>
          <w:marBottom w:val="0"/>
          <w:divBdr>
            <w:top w:val="none" w:sz="0" w:space="0" w:color="auto"/>
            <w:left w:val="none" w:sz="0" w:space="0" w:color="auto"/>
            <w:bottom w:val="none" w:sz="0" w:space="0" w:color="auto"/>
            <w:right w:val="none" w:sz="0" w:space="0" w:color="auto"/>
          </w:divBdr>
        </w:div>
        <w:div w:id="1204830618">
          <w:marLeft w:val="480"/>
          <w:marRight w:val="0"/>
          <w:marTop w:val="0"/>
          <w:marBottom w:val="0"/>
          <w:divBdr>
            <w:top w:val="none" w:sz="0" w:space="0" w:color="auto"/>
            <w:left w:val="none" w:sz="0" w:space="0" w:color="auto"/>
            <w:bottom w:val="none" w:sz="0" w:space="0" w:color="auto"/>
            <w:right w:val="none" w:sz="0" w:space="0" w:color="auto"/>
          </w:divBdr>
        </w:div>
        <w:div w:id="1148085978">
          <w:marLeft w:val="480"/>
          <w:marRight w:val="0"/>
          <w:marTop w:val="0"/>
          <w:marBottom w:val="0"/>
          <w:divBdr>
            <w:top w:val="none" w:sz="0" w:space="0" w:color="auto"/>
            <w:left w:val="none" w:sz="0" w:space="0" w:color="auto"/>
            <w:bottom w:val="none" w:sz="0" w:space="0" w:color="auto"/>
            <w:right w:val="none" w:sz="0" w:space="0" w:color="auto"/>
          </w:divBdr>
        </w:div>
        <w:div w:id="1647124772">
          <w:marLeft w:val="480"/>
          <w:marRight w:val="0"/>
          <w:marTop w:val="0"/>
          <w:marBottom w:val="0"/>
          <w:divBdr>
            <w:top w:val="none" w:sz="0" w:space="0" w:color="auto"/>
            <w:left w:val="none" w:sz="0" w:space="0" w:color="auto"/>
            <w:bottom w:val="none" w:sz="0" w:space="0" w:color="auto"/>
            <w:right w:val="none" w:sz="0" w:space="0" w:color="auto"/>
          </w:divBdr>
        </w:div>
        <w:div w:id="51999640">
          <w:marLeft w:val="480"/>
          <w:marRight w:val="0"/>
          <w:marTop w:val="0"/>
          <w:marBottom w:val="0"/>
          <w:divBdr>
            <w:top w:val="none" w:sz="0" w:space="0" w:color="auto"/>
            <w:left w:val="none" w:sz="0" w:space="0" w:color="auto"/>
            <w:bottom w:val="none" w:sz="0" w:space="0" w:color="auto"/>
            <w:right w:val="none" w:sz="0" w:space="0" w:color="auto"/>
          </w:divBdr>
        </w:div>
        <w:div w:id="969869741">
          <w:marLeft w:val="480"/>
          <w:marRight w:val="0"/>
          <w:marTop w:val="0"/>
          <w:marBottom w:val="0"/>
          <w:divBdr>
            <w:top w:val="none" w:sz="0" w:space="0" w:color="auto"/>
            <w:left w:val="none" w:sz="0" w:space="0" w:color="auto"/>
            <w:bottom w:val="none" w:sz="0" w:space="0" w:color="auto"/>
            <w:right w:val="none" w:sz="0" w:space="0" w:color="auto"/>
          </w:divBdr>
        </w:div>
      </w:divsChild>
    </w:div>
    <w:div w:id="1080366105">
      <w:bodyDiv w:val="1"/>
      <w:marLeft w:val="0"/>
      <w:marRight w:val="0"/>
      <w:marTop w:val="0"/>
      <w:marBottom w:val="0"/>
      <w:divBdr>
        <w:top w:val="none" w:sz="0" w:space="0" w:color="auto"/>
        <w:left w:val="none" w:sz="0" w:space="0" w:color="auto"/>
        <w:bottom w:val="none" w:sz="0" w:space="0" w:color="auto"/>
        <w:right w:val="none" w:sz="0" w:space="0" w:color="auto"/>
      </w:divBdr>
    </w:div>
    <w:div w:id="1100443780">
      <w:bodyDiv w:val="1"/>
      <w:marLeft w:val="0"/>
      <w:marRight w:val="0"/>
      <w:marTop w:val="0"/>
      <w:marBottom w:val="0"/>
      <w:divBdr>
        <w:top w:val="none" w:sz="0" w:space="0" w:color="auto"/>
        <w:left w:val="none" w:sz="0" w:space="0" w:color="auto"/>
        <w:bottom w:val="none" w:sz="0" w:space="0" w:color="auto"/>
        <w:right w:val="none" w:sz="0" w:space="0" w:color="auto"/>
      </w:divBdr>
    </w:div>
    <w:div w:id="1210260134">
      <w:bodyDiv w:val="1"/>
      <w:marLeft w:val="0"/>
      <w:marRight w:val="0"/>
      <w:marTop w:val="0"/>
      <w:marBottom w:val="0"/>
      <w:divBdr>
        <w:top w:val="none" w:sz="0" w:space="0" w:color="auto"/>
        <w:left w:val="none" w:sz="0" w:space="0" w:color="auto"/>
        <w:bottom w:val="none" w:sz="0" w:space="0" w:color="auto"/>
        <w:right w:val="none" w:sz="0" w:space="0" w:color="auto"/>
      </w:divBdr>
      <w:divsChild>
        <w:div w:id="1944920348">
          <w:marLeft w:val="480"/>
          <w:marRight w:val="0"/>
          <w:marTop w:val="0"/>
          <w:marBottom w:val="0"/>
          <w:divBdr>
            <w:top w:val="none" w:sz="0" w:space="0" w:color="auto"/>
            <w:left w:val="none" w:sz="0" w:space="0" w:color="auto"/>
            <w:bottom w:val="none" w:sz="0" w:space="0" w:color="auto"/>
            <w:right w:val="none" w:sz="0" w:space="0" w:color="auto"/>
          </w:divBdr>
        </w:div>
        <w:div w:id="1020278226">
          <w:marLeft w:val="480"/>
          <w:marRight w:val="0"/>
          <w:marTop w:val="0"/>
          <w:marBottom w:val="0"/>
          <w:divBdr>
            <w:top w:val="none" w:sz="0" w:space="0" w:color="auto"/>
            <w:left w:val="none" w:sz="0" w:space="0" w:color="auto"/>
            <w:bottom w:val="none" w:sz="0" w:space="0" w:color="auto"/>
            <w:right w:val="none" w:sz="0" w:space="0" w:color="auto"/>
          </w:divBdr>
        </w:div>
        <w:div w:id="1653559583">
          <w:marLeft w:val="480"/>
          <w:marRight w:val="0"/>
          <w:marTop w:val="0"/>
          <w:marBottom w:val="0"/>
          <w:divBdr>
            <w:top w:val="none" w:sz="0" w:space="0" w:color="auto"/>
            <w:left w:val="none" w:sz="0" w:space="0" w:color="auto"/>
            <w:bottom w:val="none" w:sz="0" w:space="0" w:color="auto"/>
            <w:right w:val="none" w:sz="0" w:space="0" w:color="auto"/>
          </w:divBdr>
        </w:div>
        <w:div w:id="544563180">
          <w:marLeft w:val="480"/>
          <w:marRight w:val="0"/>
          <w:marTop w:val="0"/>
          <w:marBottom w:val="0"/>
          <w:divBdr>
            <w:top w:val="none" w:sz="0" w:space="0" w:color="auto"/>
            <w:left w:val="none" w:sz="0" w:space="0" w:color="auto"/>
            <w:bottom w:val="none" w:sz="0" w:space="0" w:color="auto"/>
            <w:right w:val="none" w:sz="0" w:space="0" w:color="auto"/>
          </w:divBdr>
        </w:div>
        <w:div w:id="2132819903">
          <w:marLeft w:val="480"/>
          <w:marRight w:val="0"/>
          <w:marTop w:val="0"/>
          <w:marBottom w:val="0"/>
          <w:divBdr>
            <w:top w:val="none" w:sz="0" w:space="0" w:color="auto"/>
            <w:left w:val="none" w:sz="0" w:space="0" w:color="auto"/>
            <w:bottom w:val="none" w:sz="0" w:space="0" w:color="auto"/>
            <w:right w:val="none" w:sz="0" w:space="0" w:color="auto"/>
          </w:divBdr>
        </w:div>
        <w:div w:id="303510781">
          <w:marLeft w:val="480"/>
          <w:marRight w:val="0"/>
          <w:marTop w:val="0"/>
          <w:marBottom w:val="0"/>
          <w:divBdr>
            <w:top w:val="none" w:sz="0" w:space="0" w:color="auto"/>
            <w:left w:val="none" w:sz="0" w:space="0" w:color="auto"/>
            <w:bottom w:val="none" w:sz="0" w:space="0" w:color="auto"/>
            <w:right w:val="none" w:sz="0" w:space="0" w:color="auto"/>
          </w:divBdr>
        </w:div>
        <w:div w:id="1952861093">
          <w:marLeft w:val="480"/>
          <w:marRight w:val="0"/>
          <w:marTop w:val="0"/>
          <w:marBottom w:val="0"/>
          <w:divBdr>
            <w:top w:val="none" w:sz="0" w:space="0" w:color="auto"/>
            <w:left w:val="none" w:sz="0" w:space="0" w:color="auto"/>
            <w:bottom w:val="none" w:sz="0" w:space="0" w:color="auto"/>
            <w:right w:val="none" w:sz="0" w:space="0" w:color="auto"/>
          </w:divBdr>
        </w:div>
        <w:div w:id="84420277">
          <w:marLeft w:val="480"/>
          <w:marRight w:val="0"/>
          <w:marTop w:val="0"/>
          <w:marBottom w:val="0"/>
          <w:divBdr>
            <w:top w:val="none" w:sz="0" w:space="0" w:color="auto"/>
            <w:left w:val="none" w:sz="0" w:space="0" w:color="auto"/>
            <w:bottom w:val="none" w:sz="0" w:space="0" w:color="auto"/>
            <w:right w:val="none" w:sz="0" w:space="0" w:color="auto"/>
          </w:divBdr>
        </w:div>
        <w:div w:id="1861550744">
          <w:marLeft w:val="480"/>
          <w:marRight w:val="0"/>
          <w:marTop w:val="0"/>
          <w:marBottom w:val="0"/>
          <w:divBdr>
            <w:top w:val="none" w:sz="0" w:space="0" w:color="auto"/>
            <w:left w:val="none" w:sz="0" w:space="0" w:color="auto"/>
            <w:bottom w:val="none" w:sz="0" w:space="0" w:color="auto"/>
            <w:right w:val="none" w:sz="0" w:space="0" w:color="auto"/>
          </w:divBdr>
        </w:div>
        <w:div w:id="2068408533">
          <w:marLeft w:val="480"/>
          <w:marRight w:val="0"/>
          <w:marTop w:val="0"/>
          <w:marBottom w:val="0"/>
          <w:divBdr>
            <w:top w:val="none" w:sz="0" w:space="0" w:color="auto"/>
            <w:left w:val="none" w:sz="0" w:space="0" w:color="auto"/>
            <w:bottom w:val="none" w:sz="0" w:space="0" w:color="auto"/>
            <w:right w:val="none" w:sz="0" w:space="0" w:color="auto"/>
          </w:divBdr>
        </w:div>
      </w:divsChild>
    </w:div>
    <w:div w:id="1211919094">
      <w:bodyDiv w:val="1"/>
      <w:marLeft w:val="0"/>
      <w:marRight w:val="0"/>
      <w:marTop w:val="0"/>
      <w:marBottom w:val="0"/>
      <w:divBdr>
        <w:top w:val="none" w:sz="0" w:space="0" w:color="auto"/>
        <w:left w:val="none" w:sz="0" w:space="0" w:color="auto"/>
        <w:bottom w:val="none" w:sz="0" w:space="0" w:color="auto"/>
        <w:right w:val="none" w:sz="0" w:space="0" w:color="auto"/>
      </w:divBdr>
    </w:div>
    <w:div w:id="1249726803">
      <w:bodyDiv w:val="1"/>
      <w:marLeft w:val="0"/>
      <w:marRight w:val="0"/>
      <w:marTop w:val="0"/>
      <w:marBottom w:val="0"/>
      <w:divBdr>
        <w:top w:val="none" w:sz="0" w:space="0" w:color="auto"/>
        <w:left w:val="none" w:sz="0" w:space="0" w:color="auto"/>
        <w:bottom w:val="none" w:sz="0" w:space="0" w:color="auto"/>
        <w:right w:val="none" w:sz="0" w:space="0" w:color="auto"/>
      </w:divBdr>
    </w:div>
    <w:div w:id="1323003226">
      <w:bodyDiv w:val="1"/>
      <w:marLeft w:val="0"/>
      <w:marRight w:val="0"/>
      <w:marTop w:val="0"/>
      <w:marBottom w:val="0"/>
      <w:divBdr>
        <w:top w:val="none" w:sz="0" w:space="0" w:color="auto"/>
        <w:left w:val="none" w:sz="0" w:space="0" w:color="auto"/>
        <w:bottom w:val="none" w:sz="0" w:space="0" w:color="auto"/>
        <w:right w:val="none" w:sz="0" w:space="0" w:color="auto"/>
      </w:divBdr>
      <w:divsChild>
        <w:div w:id="1809320438">
          <w:marLeft w:val="480"/>
          <w:marRight w:val="0"/>
          <w:marTop w:val="0"/>
          <w:marBottom w:val="0"/>
          <w:divBdr>
            <w:top w:val="none" w:sz="0" w:space="0" w:color="auto"/>
            <w:left w:val="none" w:sz="0" w:space="0" w:color="auto"/>
            <w:bottom w:val="none" w:sz="0" w:space="0" w:color="auto"/>
            <w:right w:val="none" w:sz="0" w:space="0" w:color="auto"/>
          </w:divBdr>
        </w:div>
        <w:div w:id="660042617">
          <w:marLeft w:val="480"/>
          <w:marRight w:val="0"/>
          <w:marTop w:val="0"/>
          <w:marBottom w:val="0"/>
          <w:divBdr>
            <w:top w:val="none" w:sz="0" w:space="0" w:color="auto"/>
            <w:left w:val="none" w:sz="0" w:space="0" w:color="auto"/>
            <w:bottom w:val="none" w:sz="0" w:space="0" w:color="auto"/>
            <w:right w:val="none" w:sz="0" w:space="0" w:color="auto"/>
          </w:divBdr>
        </w:div>
        <w:div w:id="116796990">
          <w:marLeft w:val="480"/>
          <w:marRight w:val="0"/>
          <w:marTop w:val="0"/>
          <w:marBottom w:val="0"/>
          <w:divBdr>
            <w:top w:val="none" w:sz="0" w:space="0" w:color="auto"/>
            <w:left w:val="none" w:sz="0" w:space="0" w:color="auto"/>
            <w:bottom w:val="none" w:sz="0" w:space="0" w:color="auto"/>
            <w:right w:val="none" w:sz="0" w:space="0" w:color="auto"/>
          </w:divBdr>
        </w:div>
        <w:div w:id="403840174">
          <w:marLeft w:val="480"/>
          <w:marRight w:val="0"/>
          <w:marTop w:val="0"/>
          <w:marBottom w:val="0"/>
          <w:divBdr>
            <w:top w:val="none" w:sz="0" w:space="0" w:color="auto"/>
            <w:left w:val="none" w:sz="0" w:space="0" w:color="auto"/>
            <w:bottom w:val="none" w:sz="0" w:space="0" w:color="auto"/>
            <w:right w:val="none" w:sz="0" w:space="0" w:color="auto"/>
          </w:divBdr>
        </w:div>
        <w:div w:id="1139033001">
          <w:marLeft w:val="480"/>
          <w:marRight w:val="0"/>
          <w:marTop w:val="0"/>
          <w:marBottom w:val="0"/>
          <w:divBdr>
            <w:top w:val="none" w:sz="0" w:space="0" w:color="auto"/>
            <w:left w:val="none" w:sz="0" w:space="0" w:color="auto"/>
            <w:bottom w:val="none" w:sz="0" w:space="0" w:color="auto"/>
            <w:right w:val="none" w:sz="0" w:space="0" w:color="auto"/>
          </w:divBdr>
        </w:div>
        <w:div w:id="1176773589">
          <w:marLeft w:val="480"/>
          <w:marRight w:val="0"/>
          <w:marTop w:val="0"/>
          <w:marBottom w:val="0"/>
          <w:divBdr>
            <w:top w:val="none" w:sz="0" w:space="0" w:color="auto"/>
            <w:left w:val="none" w:sz="0" w:space="0" w:color="auto"/>
            <w:bottom w:val="none" w:sz="0" w:space="0" w:color="auto"/>
            <w:right w:val="none" w:sz="0" w:space="0" w:color="auto"/>
          </w:divBdr>
        </w:div>
        <w:div w:id="1091464347">
          <w:marLeft w:val="480"/>
          <w:marRight w:val="0"/>
          <w:marTop w:val="0"/>
          <w:marBottom w:val="0"/>
          <w:divBdr>
            <w:top w:val="none" w:sz="0" w:space="0" w:color="auto"/>
            <w:left w:val="none" w:sz="0" w:space="0" w:color="auto"/>
            <w:bottom w:val="none" w:sz="0" w:space="0" w:color="auto"/>
            <w:right w:val="none" w:sz="0" w:space="0" w:color="auto"/>
          </w:divBdr>
        </w:div>
        <w:div w:id="631249263">
          <w:marLeft w:val="480"/>
          <w:marRight w:val="0"/>
          <w:marTop w:val="0"/>
          <w:marBottom w:val="0"/>
          <w:divBdr>
            <w:top w:val="none" w:sz="0" w:space="0" w:color="auto"/>
            <w:left w:val="none" w:sz="0" w:space="0" w:color="auto"/>
            <w:bottom w:val="none" w:sz="0" w:space="0" w:color="auto"/>
            <w:right w:val="none" w:sz="0" w:space="0" w:color="auto"/>
          </w:divBdr>
        </w:div>
      </w:divsChild>
    </w:div>
    <w:div w:id="1366246586">
      <w:bodyDiv w:val="1"/>
      <w:marLeft w:val="0"/>
      <w:marRight w:val="0"/>
      <w:marTop w:val="0"/>
      <w:marBottom w:val="0"/>
      <w:divBdr>
        <w:top w:val="none" w:sz="0" w:space="0" w:color="auto"/>
        <w:left w:val="none" w:sz="0" w:space="0" w:color="auto"/>
        <w:bottom w:val="none" w:sz="0" w:space="0" w:color="auto"/>
        <w:right w:val="none" w:sz="0" w:space="0" w:color="auto"/>
      </w:divBdr>
    </w:div>
    <w:div w:id="1383210402">
      <w:bodyDiv w:val="1"/>
      <w:marLeft w:val="0"/>
      <w:marRight w:val="0"/>
      <w:marTop w:val="0"/>
      <w:marBottom w:val="0"/>
      <w:divBdr>
        <w:top w:val="none" w:sz="0" w:space="0" w:color="auto"/>
        <w:left w:val="none" w:sz="0" w:space="0" w:color="auto"/>
        <w:bottom w:val="none" w:sz="0" w:space="0" w:color="auto"/>
        <w:right w:val="none" w:sz="0" w:space="0" w:color="auto"/>
      </w:divBdr>
      <w:divsChild>
        <w:div w:id="786857206">
          <w:marLeft w:val="480"/>
          <w:marRight w:val="0"/>
          <w:marTop w:val="0"/>
          <w:marBottom w:val="0"/>
          <w:divBdr>
            <w:top w:val="none" w:sz="0" w:space="0" w:color="auto"/>
            <w:left w:val="none" w:sz="0" w:space="0" w:color="auto"/>
            <w:bottom w:val="none" w:sz="0" w:space="0" w:color="auto"/>
            <w:right w:val="none" w:sz="0" w:space="0" w:color="auto"/>
          </w:divBdr>
        </w:div>
        <w:div w:id="575434947">
          <w:marLeft w:val="480"/>
          <w:marRight w:val="0"/>
          <w:marTop w:val="0"/>
          <w:marBottom w:val="0"/>
          <w:divBdr>
            <w:top w:val="none" w:sz="0" w:space="0" w:color="auto"/>
            <w:left w:val="none" w:sz="0" w:space="0" w:color="auto"/>
            <w:bottom w:val="none" w:sz="0" w:space="0" w:color="auto"/>
            <w:right w:val="none" w:sz="0" w:space="0" w:color="auto"/>
          </w:divBdr>
        </w:div>
        <w:div w:id="316618817">
          <w:marLeft w:val="480"/>
          <w:marRight w:val="0"/>
          <w:marTop w:val="0"/>
          <w:marBottom w:val="0"/>
          <w:divBdr>
            <w:top w:val="none" w:sz="0" w:space="0" w:color="auto"/>
            <w:left w:val="none" w:sz="0" w:space="0" w:color="auto"/>
            <w:bottom w:val="none" w:sz="0" w:space="0" w:color="auto"/>
            <w:right w:val="none" w:sz="0" w:space="0" w:color="auto"/>
          </w:divBdr>
        </w:div>
        <w:div w:id="647907399">
          <w:marLeft w:val="480"/>
          <w:marRight w:val="0"/>
          <w:marTop w:val="0"/>
          <w:marBottom w:val="0"/>
          <w:divBdr>
            <w:top w:val="none" w:sz="0" w:space="0" w:color="auto"/>
            <w:left w:val="none" w:sz="0" w:space="0" w:color="auto"/>
            <w:bottom w:val="none" w:sz="0" w:space="0" w:color="auto"/>
            <w:right w:val="none" w:sz="0" w:space="0" w:color="auto"/>
          </w:divBdr>
        </w:div>
        <w:div w:id="1890142617">
          <w:marLeft w:val="480"/>
          <w:marRight w:val="0"/>
          <w:marTop w:val="0"/>
          <w:marBottom w:val="0"/>
          <w:divBdr>
            <w:top w:val="none" w:sz="0" w:space="0" w:color="auto"/>
            <w:left w:val="none" w:sz="0" w:space="0" w:color="auto"/>
            <w:bottom w:val="none" w:sz="0" w:space="0" w:color="auto"/>
            <w:right w:val="none" w:sz="0" w:space="0" w:color="auto"/>
          </w:divBdr>
        </w:div>
        <w:div w:id="2131705511">
          <w:marLeft w:val="480"/>
          <w:marRight w:val="0"/>
          <w:marTop w:val="0"/>
          <w:marBottom w:val="0"/>
          <w:divBdr>
            <w:top w:val="none" w:sz="0" w:space="0" w:color="auto"/>
            <w:left w:val="none" w:sz="0" w:space="0" w:color="auto"/>
            <w:bottom w:val="none" w:sz="0" w:space="0" w:color="auto"/>
            <w:right w:val="none" w:sz="0" w:space="0" w:color="auto"/>
          </w:divBdr>
        </w:div>
        <w:div w:id="904530132">
          <w:marLeft w:val="480"/>
          <w:marRight w:val="0"/>
          <w:marTop w:val="0"/>
          <w:marBottom w:val="0"/>
          <w:divBdr>
            <w:top w:val="none" w:sz="0" w:space="0" w:color="auto"/>
            <w:left w:val="none" w:sz="0" w:space="0" w:color="auto"/>
            <w:bottom w:val="none" w:sz="0" w:space="0" w:color="auto"/>
            <w:right w:val="none" w:sz="0" w:space="0" w:color="auto"/>
          </w:divBdr>
        </w:div>
        <w:div w:id="949362867">
          <w:marLeft w:val="480"/>
          <w:marRight w:val="0"/>
          <w:marTop w:val="0"/>
          <w:marBottom w:val="0"/>
          <w:divBdr>
            <w:top w:val="none" w:sz="0" w:space="0" w:color="auto"/>
            <w:left w:val="none" w:sz="0" w:space="0" w:color="auto"/>
            <w:bottom w:val="none" w:sz="0" w:space="0" w:color="auto"/>
            <w:right w:val="none" w:sz="0" w:space="0" w:color="auto"/>
          </w:divBdr>
        </w:div>
        <w:div w:id="30765807">
          <w:marLeft w:val="480"/>
          <w:marRight w:val="0"/>
          <w:marTop w:val="0"/>
          <w:marBottom w:val="0"/>
          <w:divBdr>
            <w:top w:val="none" w:sz="0" w:space="0" w:color="auto"/>
            <w:left w:val="none" w:sz="0" w:space="0" w:color="auto"/>
            <w:bottom w:val="none" w:sz="0" w:space="0" w:color="auto"/>
            <w:right w:val="none" w:sz="0" w:space="0" w:color="auto"/>
          </w:divBdr>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8208381">
      <w:bodyDiv w:val="1"/>
      <w:marLeft w:val="0"/>
      <w:marRight w:val="0"/>
      <w:marTop w:val="0"/>
      <w:marBottom w:val="0"/>
      <w:divBdr>
        <w:top w:val="none" w:sz="0" w:space="0" w:color="auto"/>
        <w:left w:val="none" w:sz="0" w:space="0" w:color="auto"/>
        <w:bottom w:val="none" w:sz="0" w:space="0" w:color="auto"/>
        <w:right w:val="none" w:sz="0" w:space="0" w:color="auto"/>
      </w:divBdr>
    </w:div>
    <w:div w:id="1440837201">
      <w:bodyDiv w:val="1"/>
      <w:marLeft w:val="0"/>
      <w:marRight w:val="0"/>
      <w:marTop w:val="0"/>
      <w:marBottom w:val="0"/>
      <w:divBdr>
        <w:top w:val="none" w:sz="0" w:space="0" w:color="auto"/>
        <w:left w:val="none" w:sz="0" w:space="0" w:color="auto"/>
        <w:bottom w:val="none" w:sz="0" w:space="0" w:color="auto"/>
        <w:right w:val="none" w:sz="0" w:space="0" w:color="auto"/>
      </w:divBdr>
    </w:div>
    <w:div w:id="1462653518">
      <w:bodyDiv w:val="1"/>
      <w:marLeft w:val="0"/>
      <w:marRight w:val="0"/>
      <w:marTop w:val="0"/>
      <w:marBottom w:val="0"/>
      <w:divBdr>
        <w:top w:val="none" w:sz="0" w:space="0" w:color="auto"/>
        <w:left w:val="none" w:sz="0" w:space="0" w:color="auto"/>
        <w:bottom w:val="none" w:sz="0" w:space="0" w:color="auto"/>
        <w:right w:val="none" w:sz="0" w:space="0" w:color="auto"/>
      </w:divBdr>
      <w:divsChild>
        <w:div w:id="93477331">
          <w:marLeft w:val="480"/>
          <w:marRight w:val="0"/>
          <w:marTop w:val="0"/>
          <w:marBottom w:val="0"/>
          <w:divBdr>
            <w:top w:val="none" w:sz="0" w:space="0" w:color="auto"/>
            <w:left w:val="none" w:sz="0" w:space="0" w:color="auto"/>
            <w:bottom w:val="none" w:sz="0" w:space="0" w:color="auto"/>
            <w:right w:val="none" w:sz="0" w:space="0" w:color="auto"/>
          </w:divBdr>
        </w:div>
        <w:div w:id="116922420">
          <w:marLeft w:val="480"/>
          <w:marRight w:val="0"/>
          <w:marTop w:val="0"/>
          <w:marBottom w:val="0"/>
          <w:divBdr>
            <w:top w:val="none" w:sz="0" w:space="0" w:color="auto"/>
            <w:left w:val="none" w:sz="0" w:space="0" w:color="auto"/>
            <w:bottom w:val="none" w:sz="0" w:space="0" w:color="auto"/>
            <w:right w:val="none" w:sz="0" w:space="0" w:color="auto"/>
          </w:divBdr>
        </w:div>
        <w:div w:id="367997319">
          <w:marLeft w:val="480"/>
          <w:marRight w:val="0"/>
          <w:marTop w:val="0"/>
          <w:marBottom w:val="0"/>
          <w:divBdr>
            <w:top w:val="none" w:sz="0" w:space="0" w:color="auto"/>
            <w:left w:val="none" w:sz="0" w:space="0" w:color="auto"/>
            <w:bottom w:val="none" w:sz="0" w:space="0" w:color="auto"/>
            <w:right w:val="none" w:sz="0" w:space="0" w:color="auto"/>
          </w:divBdr>
        </w:div>
        <w:div w:id="832766742">
          <w:marLeft w:val="480"/>
          <w:marRight w:val="0"/>
          <w:marTop w:val="0"/>
          <w:marBottom w:val="0"/>
          <w:divBdr>
            <w:top w:val="none" w:sz="0" w:space="0" w:color="auto"/>
            <w:left w:val="none" w:sz="0" w:space="0" w:color="auto"/>
            <w:bottom w:val="none" w:sz="0" w:space="0" w:color="auto"/>
            <w:right w:val="none" w:sz="0" w:space="0" w:color="auto"/>
          </w:divBdr>
        </w:div>
        <w:div w:id="1822309607">
          <w:marLeft w:val="480"/>
          <w:marRight w:val="0"/>
          <w:marTop w:val="0"/>
          <w:marBottom w:val="0"/>
          <w:divBdr>
            <w:top w:val="none" w:sz="0" w:space="0" w:color="auto"/>
            <w:left w:val="none" w:sz="0" w:space="0" w:color="auto"/>
            <w:bottom w:val="none" w:sz="0" w:space="0" w:color="auto"/>
            <w:right w:val="none" w:sz="0" w:space="0" w:color="auto"/>
          </w:divBdr>
        </w:div>
        <w:div w:id="317002420">
          <w:marLeft w:val="480"/>
          <w:marRight w:val="0"/>
          <w:marTop w:val="0"/>
          <w:marBottom w:val="0"/>
          <w:divBdr>
            <w:top w:val="none" w:sz="0" w:space="0" w:color="auto"/>
            <w:left w:val="none" w:sz="0" w:space="0" w:color="auto"/>
            <w:bottom w:val="none" w:sz="0" w:space="0" w:color="auto"/>
            <w:right w:val="none" w:sz="0" w:space="0" w:color="auto"/>
          </w:divBdr>
        </w:div>
        <w:div w:id="2117014997">
          <w:marLeft w:val="480"/>
          <w:marRight w:val="0"/>
          <w:marTop w:val="0"/>
          <w:marBottom w:val="0"/>
          <w:divBdr>
            <w:top w:val="none" w:sz="0" w:space="0" w:color="auto"/>
            <w:left w:val="none" w:sz="0" w:space="0" w:color="auto"/>
            <w:bottom w:val="none" w:sz="0" w:space="0" w:color="auto"/>
            <w:right w:val="none" w:sz="0" w:space="0" w:color="auto"/>
          </w:divBdr>
        </w:div>
        <w:div w:id="504325434">
          <w:marLeft w:val="480"/>
          <w:marRight w:val="0"/>
          <w:marTop w:val="0"/>
          <w:marBottom w:val="0"/>
          <w:divBdr>
            <w:top w:val="none" w:sz="0" w:space="0" w:color="auto"/>
            <w:left w:val="none" w:sz="0" w:space="0" w:color="auto"/>
            <w:bottom w:val="none" w:sz="0" w:space="0" w:color="auto"/>
            <w:right w:val="none" w:sz="0" w:space="0" w:color="auto"/>
          </w:divBdr>
        </w:div>
        <w:div w:id="31004773">
          <w:marLeft w:val="480"/>
          <w:marRight w:val="0"/>
          <w:marTop w:val="0"/>
          <w:marBottom w:val="0"/>
          <w:divBdr>
            <w:top w:val="none" w:sz="0" w:space="0" w:color="auto"/>
            <w:left w:val="none" w:sz="0" w:space="0" w:color="auto"/>
            <w:bottom w:val="none" w:sz="0" w:space="0" w:color="auto"/>
            <w:right w:val="none" w:sz="0" w:space="0" w:color="auto"/>
          </w:divBdr>
        </w:div>
        <w:div w:id="2085250204">
          <w:marLeft w:val="48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1606004">
      <w:bodyDiv w:val="1"/>
      <w:marLeft w:val="0"/>
      <w:marRight w:val="0"/>
      <w:marTop w:val="0"/>
      <w:marBottom w:val="0"/>
      <w:divBdr>
        <w:top w:val="none" w:sz="0" w:space="0" w:color="auto"/>
        <w:left w:val="none" w:sz="0" w:space="0" w:color="auto"/>
        <w:bottom w:val="none" w:sz="0" w:space="0" w:color="auto"/>
        <w:right w:val="none" w:sz="0" w:space="0" w:color="auto"/>
      </w:divBdr>
    </w:div>
    <w:div w:id="1648973254">
      <w:bodyDiv w:val="1"/>
      <w:marLeft w:val="0"/>
      <w:marRight w:val="0"/>
      <w:marTop w:val="0"/>
      <w:marBottom w:val="0"/>
      <w:divBdr>
        <w:top w:val="none" w:sz="0" w:space="0" w:color="auto"/>
        <w:left w:val="none" w:sz="0" w:space="0" w:color="auto"/>
        <w:bottom w:val="none" w:sz="0" w:space="0" w:color="auto"/>
        <w:right w:val="none" w:sz="0" w:space="0" w:color="auto"/>
      </w:divBdr>
      <w:divsChild>
        <w:div w:id="1928609312">
          <w:marLeft w:val="480"/>
          <w:marRight w:val="0"/>
          <w:marTop w:val="0"/>
          <w:marBottom w:val="0"/>
          <w:divBdr>
            <w:top w:val="none" w:sz="0" w:space="0" w:color="auto"/>
            <w:left w:val="none" w:sz="0" w:space="0" w:color="auto"/>
            <w:bottom w:val="none" w:sz="0" w:space="0" w:color="auto"/>
            <w:right w:val="none" w:sz="0" w:space="0" w:color="auto"/>
          </w:divBdr>
        </w:div>
        <w:div w:id="2102483650">
          <w:marLeft w:val="480"/>
          <w:marRight w:val="0"/>
          <w:marTop w:val="0"/>
          <w:marBottom w:val="0"/>
          <w:divBdr>
            <w:top w:val="none" w:sz="0" w:space="0" w:color="auto"/>
            <w:left w:val="none" w:sz="0" w:space="0" w:color="auto"/>
            <w:bottom w:val="none" w:sz="0" w:space="0" w:color="auto"/>
            <w:right w:val="none" w:sz="0" w:space="0" w:color="auto"/>
          </w:divBdr>
        </w:div>
        <w:div w:id="1805735686">
          <w:marLeft w:val="480"/>
          <w:marRight w:val="0"/>
          <w:marTop w:val="0"/>
          <w:marBottom w:val="0"/>
          <w:divBdr>
            <w:top w:val="none" w:sz="0" w:space="0" w:color="auto"/>
            <w:left w:val="none" w:sz="0" w:space="0" w:color="auto"/>
            <w:bottom w:val="none" w:sz="0" w:space="0" w:color="auto"/>
            <w:right w:val="none" w:sz="0" w:space="0" w:color="auto"/>
          </w:divBdr>
        </w:div>
        <w:div w:id="639697074">
          <w:marLeft w:val="480"/>
          <w:marRight w:val="0"/>
          <w:marTop w:val="0"/>
          <w:marBottom w:val="0"/>
          <w:divBdr>
            <w:top w:val="none" w:sz="0" w:space="0" w:color="auto"/>
            <w:left w:val="none" w:sz="0" w:space="0" w:color="auto"/>
            <w:bottom w:val="none" w:sz="0" w:space="0" w:color="auto"/>
            <w:right w:val="none" w:sz="0" w:space="0" w:color="auto"/>
          </w:divBdr>
        </w:div>
        <w:div w:id="718286029">
          <w:marLeft w:val="480"/>
          <w:marRight w:val="0"/>
          <w:marTop w:val="0"/>
          <w:marBottom w:val="0"/>
          <w:divBdr>
            <w:top w:val="none" w:sz="0" w:space="0" w:color="auto"/>
            <w:left w:val="none" w:sz="0" w:space="0" w:color="auto"/>
            <w:bottom w:val="none" w:sz="0" w:space="0" w:color="auto"/>
            <w:right w:val="none" w:sz="0" w:space="0" w:color="auto"/>
          </w:divBdr>
        </w:div>
        <w:div w:id="931426531">
          <w:marLeft w:val="480"/>
          <w:marRight w:val="0"/>
          <w:marTop w:val="0"/>
          <w:marBottom w:val="0"/>
          <w:divBdr>
            <w:top w:val="none" w:sz="0" w:space="0" w:color="auto"/>
            <w:left w:val="none" w:sz="0" w:space="0" w:color="auto"/>
            <w:bottom w:val="none" w:sz="0" w:space="0" w:color="auto"/>
            <w:right w:val="none" w:sz="0" w:space="0" w:color="auto"/>
          </w:divBdr>
        </w:div>
        <w:div w:id="1683435119">
          <w:marLeft w:val="480"/>
          <w:marRight w:val="0"/>
          <w:marTop w:val="0"/>
          <w:marBottom w:val="0"/>
          <w:divBdr>
            <w:top w:val="none" w:sz="0" w:space="0" w:color="auto"/>
            <w:left w:val="none" w:sz="0" w:space="0" w:color="auto"/>
            <w:bottom w:val="none" w:sz="0" w:space="0" w:color="auto"/>
            <w:right w:val="none" w:sz="0" w:space="0" w:color="auto"/>
          </w:divBdr>
        </w:div>
        <w:div w:id="1638294479">
          <w:marLeft w:val="480"/>
          <w:marRight w:val="0"/>
          <w:marTop w:val="0"/>
          <w:marBottom w:val="0"/>
          <w:divBdr>
            <w:top w:val="none" w:sz="0" w:space="0" w:color="auto"/>
            <w:left w:val="none" w:sz="0" w:space="0" w:color="auto"/>
            <w:bottom w:val="none" w:sz="0" w:space="0" w:color="auto"/>
            <w:right w:val="none" w:sz="0" w:space="0" w:color="auto"/>
          </w:divBdr>
        </w:div>
        <w:div w:id="615058811">
          <w:marLeft w:val="480"/>
          <w:marRight w:val="0"/>
          <w:marTop w:val="0"/>
          <w:marBottom w:val="0"/>
          <w:divBdr>
            <w:top w:val="none" w:sz="0" w:space="0" w:color="auto"/>
            <w:left w:val="none" w:sz="0" w:space="0" w:color="auto"/>
            <w:bottom w:val="none" w:sz="0" w:space="0" w:color="auto"/>
            <w:right w:val="none" w:sz="0" w:space="0" w:color="auto"/>
          </w:divBdr>
        </w:div>
        <w:div w:id="894008758">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05421">
      <w:bodyDiv w:val="1"/>
      <w:marLeft w:val="0"/>
      <w:marRight w:val="0"/>
      <w:marTop w:val="0"/>
      <w:marBottom w:val="0"/>
      <w:divBdr>
        <w:top w:val="none" w:sz="0" w:space="0" w:color="auto"/>
        <w:left w:val="none" w:sz="0" w:space="0" w:color="auto"/>
        <w:bottom w:val="none" w:sz="0" w:space="0" w:color="auto"/>
        <w:right w:val="none" w:sz="0" w:space="0" w:color="auto"/>
      </w:divBdr>
    </w:div>
    <w:div w:id="1732657245">
      <w:bodyDiv w:val="1"/>
      <w:marLeft w:val="0"/>
      <w:marRight w:val="0"/>
      <w:marTop w:val="0"/>
      <w:marBottom w:val="0"/>
      <w:divBdr>
        <w:top w:val="none" w:sz="0" w:space="0" w:color="auto"/>
        <w:left w:val="none" w:sz="0" w:space="0" w:color="auto"/>
        <w:bottom w:val="none" w:sz="0" w:space="0" w:color="auto"/>
        <w:right w:val="none" w:sz="0" w:space="0" w:color="auto"/>
      </w:divBdr>
      <w:divsChild>
        <w:div w:id="930160141">
          <w:marLeft w:val="480"/>
          <w:marRight w:val="0"/>
          <w:marTop w:val="0"/>
          <w:marBottom w:val="0"/>
          <w:divBdr>
            <w:top w:val="none" w:sz="0" w:space="0" w:color="auto"/>
            <w:left w:val="none" w:sz="0" w:space="0" w:color="auto"/>
            <w:bottom w:val="none" w:sz="0" w:space="0" w:color="auto"/>
            <w:right w:val="none" w:sz="0" w:space="0" w:color="auto"/>
          </w:divBdr>
        </w:div>
        <w:div w:id="1530336398">
          <w:marLeft w:val="480"/>
          <w:marRight w:val="0"/>
          <w:marTop w:val="0"/>
          <w:marBottom w:val="0"/>
          <w:divBdr>
            <w:top w:val="none" w:sz="0" w:space="0" w:color="auto"/>
            <w:left w:val="none" w:sz="0" w:space="0" w:color="auto"/>
            <w:bottom w:val="none" w:sz="0" w:space="0" w:color="auto"/>
            <w:right w:val="none" w:sz="0" w:space="0" w:color="auto"/>
          </w:divBdr>
        </w:div>
        <w:div w:id="289288572">
          <w:marLeft w:val="480"/>
          <w:marRight w:val="0"/>
          <w:marTop w:val="0"/>
          <w:marBottom w:val="0"/>
          <w:divBdr>
            <w:top w:val="none" w:sz="0" w:space="0" w:color="auto"/>
            <w:left w:val="none" w:sz="0" w:space="0" w:color="auto"/>
            <w:bottom w:val="none" w:sz="0" w:space="0" w:color="auto"/>
            <w:right w:val="none" w:sz="0" w:space="0" w:color="auto"/>
          </w:divBdr>
        </w:div>
        <w:div w:id="1936935124">
          <w:marLeft w:val="480"/>
          <w:marRight w:val="0"/>
          <w:marTop w:val="0"/>
          <w:marBottom w:val="0"/>
          <w:divBdr>
            <w:top w:val="none" w:sz="0" w:space="0" w:color="auto"/>
            <w:left w:val="none" w:sz="0" w:space="0" w:color="auto"/>
            <w:bottom w:val="none" w:sz="0" w:space="0" w:color="auto"/>
            <w:right w:val="none" w:sz="0" w:space="0" w:color="auto"/>
          </w:divBdr>
        </w:div>
        <w:div w:id="62414563">
          <w:marLeft w:val="480"/>
          <w:marRight w:val="0"/>
          <w:marTop w:val="0"/>
          <w:marBottom w:val="0"/>
          <w:divBdr>
            <w:top w:val="none" w:sz="0" w:space="0" w:color="auto"/>
            <w:left w:val="none" w:sz="0" w:space="0" w:color="auto"/>
            <w:bottom w:val="none" w:sz="0" w:space="0" w:color="auto"/>
            <w:right w:val="none" w:sz="0" w:space="0" w:color="auto"/>
          </w:divBdr>
        </w:div>
        <w:div w:id="1150945687">
          <w:marLeft w:val="480"/>
          <w:marRight w:val="0"/>
          <w:marTop w:val="0"/>
          <w:marBottom w:val="0"/>
          <w:divBdr>
            <w:top w:val="none" w:sz="0" w:space="0" w:color="auto"/>
            <w:left w:val="none" w:sz="0" w:space="0" w:color="auto"/>
            <w:bottom w:val="none" w:sz="0" w:space="0" w:color="auto"/>
            <w:right w:val="none" w:sz="0" w:space="0" w:color="auto"/>
          </w:divBdr>
        </w:div>
        <w:div w:id="21250362">
          <w:marLeft w:val="480"/>
          <w:marRight w:val="0"/>
          <w:marTop w:val="0"/>
          <w:marBottom w:val="0"/>
          <w:divBdr>
            <w:top w:val="none" w:sz="0" w:space="0" w:color="auto"/>
            <w:left w:val="none" w:sz="0" w:space="0" w:color="auto"/>
            <w:bottom w:val="none" w:sz="0" w:space="0" w:color="auto"/>
            <w:right w:val="none" w:sz="0" w:space="0" w:color="auto"/>
          </w:divBdr>
        </w:div>
        <w:div w:id="1583565616">
          <w:marLeft w:val="480"/>
          <w:marRight w:val="0"/>
          <w:marTop w:val="0"/>
          <w:marBottom w:val="0"/>
          <w:divBdr>
            <w:top w:val="none" w:sz="0" w:space="0" w:color="auto"/>
            <w:left w:val="none" w:sz="0" w:space="0" w:color="auto"/>
            <w:bottom w:val="none" w:sz="0" w:space="0" w:color="auto"/>
            <w:right w:val="none" w:sz="0" w:space="0" w:color="auto"/>
          </w:divBdr>
        </w:div>
        <w:div w:id="254243303">
          <w:marLeft w:val="480"/>
          <w:marRight w:val="0"/>
          <w:marTop w:val="0"/>
          <w:marBottom w:val="0"/>
          <w:divBdr>
            <w:top w:val="none" w:sz="0" w:space="0" w:color="auto"/>
            <w:left w:val="none" w:sz="0" w:space="0" w:color="auto"/>
            <w:bottom w:val="none" w:sz="0" w:space="0" w:color="auto"/>
            <w:right w:val="none" w:sz="0" w:space="0" w:color="auto"/>
          </w:divBdr>
        </w:div>
        <w:div w:id="1160078705">
          <w:marLeft w:val="480"/>
          <w:marRight w:val="0"/>
          <w:marTop w:val="0"/>
          <w:marBottom w:val="0"/>
          <w:divBdr>
            <w:top w:val="none" w:sz="0" w:space="0" w:color="auto"/>
            <w:left w:val="none" w:sz="0" w:space="0" w:color="auto"/>
            <w:bottom w:val="none" w:sz="0" w:space="0" w:color="auto"/>
            <w:right w:val="none" w:sz="0" w:space="0" w:color="auto"/>
          </w:divBdr>
        </w:div>
        <w:div w:id="1220744063">
          <w:marLeft w:val="480"/>
          <w:marRight w:val="0"/>
          <w:marTop w:val="0"/>
          <w:marBottom w:val="0"/>
          <w:divBdr>
            <w:top w:val="none" w:sz="0" w:space="0" w:color="auto"/>
            <w:left w:val="none" w:sz="0" w:space="0" w:color="auto"/>
            <w:bottom w:val="none" w:sz="0" w:space="0" w:color="auto"/>
            <w:right w:val="none" w:sz="0" w:space="0" w:color="auto"/>
          </w:divBdr>
        </w:div>
        <w:div w:id="87392184">
          <w:marLeft w:val="480"/>
          <w:marRight w:val="0"/>
          <w:marTop w:val="0"/>
          <w:marBottom w:val="0"/>
          <w:divBdr>
            <w:top w:val="none" w:sz="0" w:space="0" w:color="auto"/>
            <w:left w:val="none" w:sz="0" w:space="0" w:color="auto"/>
            <w:bottom w:val="none" w:sz="0" w:space="0" w:color="auto"/>
            <w:right w:val="none" w:sz="0" w:space="0" w:color="auto"/>
          </w:divBdr>
        </w:div>
      </w:divsChild>
    </w:div>
    <w:div w:id="1735353688">
      <w:bodyDiv w:val="1"/>
      <w:marLeft w:val="0"/>
      <w:marRight w:val="0"/>
      <w:marTop w:val="0"/>
      <w:marBottom w:val="0"/>
      <w:divBdr>
        <w:top w:val="none" w:sz="0" w:space="0" w:color="auto"/>
        <w:left w:val="none" w:sz="0" w:space="0" w:color="auto"/>
        <w:bottom w:val="none" w:sz="0" w:space="0" w:color="auto"/>
        <w:right w:val="none" w:sz="0" w:space="0" w:color="auto"/>
      </w:divBdr>
      <w:divsChild>
        <w:div w:id="1891186387">
          <w:marLeft w:val="480"/>
          <w:marRight w:val="0"/>
          <w:marTop w:val="0"/>
          <w:marBottom w:val="0"/>
          <w:divBdr>
            <w:top w:val="none" w:sz="0" w:space="0" w:color="auto"/>
            <w:left w:val="none" w:sz="0" w:space="0" w:color="auto"/>
            <w:bottom w:val="none" w:sz="0" w:space="0" w:color="auto"/>
            <w:right w:val="none" w:sz="0" w:space="0" w:color="auto"/>
          </w:divBdr>
        </w:div>
        <w:div w:id="1317875620">
          <w:marLeft w:val="480"/>
          <w:marRight w:val="0"/>
          <w:marTop w:val="0"/>
          <w:marBottom w:val="0"/>
          <w:divBdr>
            <w:top w:val="none" w:sz="0" w:space="0" w:color="auto"/>
            <w:left w:val="none" w:sz="0" w:space="0" w:color="auto"/>
            <w:bottom w:val="none" w:sz="0" w:space="0" w:color="auto"/>
            <w:right w:val="none" w:sz="0" w:space="0" w:color="auto"/>
          </w:divBdr>
        </w:div>
        <w:div w:id="810563444">
          <w:marLeft w:val="480"/>
          <w:marRight w:val="0"/>
          <w:marTop w:val="0"/>
          <w:marBottom w:val="0"/>
          <w:divBdr>
            <w:top w:val="none" w:sz="0" w:space="0" w:color="auto"/>
            <w:left w:val="none" w:sz="0" w:space="0" w:color="auto"/>
            <w:bottom w:val="none" w:sz="0" w:space="0" w:color="auto"/>
            <w:right w:val="none" w:sz="0" w:space="0" w:color="auto"/>
          </w:divBdr>
        </w:div>
        <w:div w:id="1900745664">
          <w:marLeft w:val="480"/>
          <w:marRight w:val="0"/>
          <w:marTop w:val="0"/>
          <w:marBottom w:val="0"/>
          <w:divBdr>
            <w:top w:val="none" w:sz="0" w:space="0" w:color="auto"/>
            <w:left w:val="none" w:sz="0" w:space="0" w:color="auto"/>
            <w:bottom w:val="none" w:sz="0" w:space="0" w:color="auto"/>
            <w:right w:val="none" w:sz="0" w:space="0" w:color="auto"/>
          </w:divBdr>
        </w:div>
        <w:div w:id="806044931">
          <w:marLeft w:val="480"/>
          <w:marRight w:val="0"/>
          <w:marTop w:val="0"/>
          <w:marBottom w:val="0"/>
          <w:divBdr>
            <w:top w:val="none" w:sz="0" w:space="0" w:color="auto"/>
            <w:left w:val="none" w:sz="0" w:space="0" w:color="auto"/>
            <w:bottom w:val="none" w:sz="0" w:space="0" w:color="auto"/>
            <w:right w:val="none" w:sz="0" w:space="0" w:color="auto"/>
          </w:divBdr>
        </w:div>
        <w:div w:id="341053177">
          <w:marLeft w:val="480"/>
          <w:marRight w:val="0"/>
          <w:marTop w:val="0"/>
          <w:marBottom w:val="0"/>
          <w:divBdr>
            <w:top w:val="none" w:sz="0" w:space="0" w:color="auto"/>
            <w:left w:val="none" w:sz="0" w:space="0" w:color="auto"/>
            <w:bottom w:val="none" w:sz="0" w:space="0" w:color="auto"/>
            <w:right w:val="none" w:sz="0" w:space="0" w:color="auto"/>
          </w:divBdr>
        </w:div>
        <w:div w:id="1706128272">
          <w:marLeft w:val="480"/>
          <w:marRight w:val="0"/>
          <w:marTop w:val="0"/>
          <w:marBottom w:val="0"/>
          <w:divBdr>
            <w:top w:val="none" w:sz="0" w:space="0" w:color="auto"/>
            <w:left w:val="none" w:sz="0" w:space="0" w:color="auto"/>
            <w:bottom w:val="none" w:sz="0" w:space="0" w:color="auto"/>
            <w:right w:val="none" w:sz="0" w:space="0" w:color="auto"/>
          </w:divBdr>
        </w:div>
        <w:div w:id="1941595607">
          <w:marLeft w:val="480"/>
          <w:marRight w:val="0"/>
          <w:marTop w:val="0"/>
          <w:marBottom w:val="0"/>
          <w:divBdr>
            <w:top w:val="none" w:sz="0" w:space="0" w:color="auto"/>
            <w:left w:val="none" w:sz="0" w:space="0" w:color="auto"/>
            <w:bottom w:val="none" w:sz="0" w:space="0" w:color="auto"/>
            <w:right w:val="none" w:sz="0" w:space="0" w:color="auto"/>
          </w:divBdr>
        </w:div>
        <w:div w:id="571937059">
          <w:marLeft w:val="480"/>
          <w:marRight w:val="0"/>
          <w:marTop w:val="0"/>
          <w:marBottom w:val="0"/>
          <w:divBdr>
            <w:top w:val="none" w:sz="0" w:space="0" w:color="auto"/>
            <w:left w:val="none" w:sz="0" w:space="0" w:color="auto"/>
            <w:bottom w:val="none" w:sz="0" w:space="0" w:color="auto"/>
            <w:right w:val="none" w:sz="0" w:space="0" w:color="auto"/>
          </w:divBdr>
        </w:div>
      </w:divsChild>
    </w:div>
    <w:div w:id="1738281612">
      <w:bodyDiv w:val="1"/>
      <w:marLeft w:val="0"/>
      <w:marRight w:val="0"/>
      <w:marTop w:val="0"/>
      <w:marBottom w:val="0"/>
      <w:divBdr>
        <w:top w:val="none" w:sz="0" w:space="0" w:color="auto"/>
        <w:left w:val="none" w:sz="0" w:space="0" w:color="auto"/>
        <w:bottom w:val="none" w:sz="0" w:space="0" w:color="auto"/>
        <w:right w:val="none" w:sz="0" w:space="0" w:color="auto"/>
      </w:divBdr>
    </w:div>
    <w:div w:id="1814713398">
      <w:bodyDiv w:val="1"/>
      <w:marLeft w:val="0"/>
      <w:marRight w:val="0"/>
      <w:marTop w:val="0"/>
      <w:marBottom w:val="0"/>
      <w:divBdr>
        <w:top w:val="none" w:sz="0" w:space="0" w:color="auto"/>
        <w:left w:val="none" w:sz="0" w:space="0" w:color="auto"/>
        <w:bottom w:val="none" w:sz="0" w:space="0" w:color="auto"/>
        <w:right w:val="none" w:sz="0" w:space="0" w:color="auto"/>
      </w:divBdr>
      <w:divsChild>
        <w:div w:id="969361125">
          <w:marLeft w:val="480"/>
          <w:marRight w:val="0"/>
          <w:marTop w:val="0"/>
          <w:marBottom w:val="0"/>
          <w:divBdr>
            <w:top w:val="none" w:sz="0" w:space="0" w:color="auto"/>
            <w:left w:val="none" w:sz="0" w:space="0" w:color="auto"/>
            <w:bottom w:val="none" w:sz="0" w:space="0" w:color="auto"/>
            <w:right w:val="none" w:sz="0" w:space="0" w:color="auto"/>
          </w:divBdr>
        </w:div>
        <w:div w:id="1795247931">
          <w:marLeft w:val="480"/>
          <w:marRight w:val="0"/>
          <w:marTop w:val="0"/>
          <w:marBottom w:val="0"/>
          <w:divBdr>
            <w:top w:val="none" w:sz="0" w:space="0" w:color="auto"/>
            <w:left w:val="none" w:sz="0" w:space="0" w:color="auto"/>
            <w:bottom w:val="none" w:sz="0" w:space="0" w:color="auto"/>
            <w:right w:val="none" w:sz="0" w:space="0" w:color="auto"/>
          </w:divBdr>
        </w:div>
        <w:div w:id="877013084">
          <w:marLeft w:val="480"/>
          <w:marRight w:val="0"/>
          <w:marTop w:val="0"/>
          <w:marBottom w:val="0"/>
          <w:divBdr>
            <w:top w:val="none" w:sz="0" w:space="0" w:color="auto"/>
            <w:left w:val="none" w:sz="0" w:space="0" w:color="auto"/>
            <w:bottom w:val="none" w:sz="0" w:space="0" w:color="auto"/>
            <w:right w:val="none" w:sz="0" w:space="0" w:color="auto"/>
          </w:divBdr>
        </w:div>
        <w:div w:id="1672101084">
          <w:marLeft w:val="480"/>
          <w:marRight w:val="0"/>
          <w:marTop w:val="0"/>
          <w:marBottom w:val="0"/>
          <w:divBdr>
            <w:top w:val="none" w:sz="0" w:space="0" w:color="auto"/>
            <w:left w:val="none" w:sz="0" w:space="0" w:color="auto"/>
            <w:bottom w:val="none" w:sz="0" w:space="0" w:color="auto"/>
            <w:right w:val="none" w:sz="0" w:space="0" w:color="auto"/>
          </w:divBdr>
        </w:div>
        <w:div w:id="1609701005">
          <w:marLeft w:val="480"/>
          <w:marRight w:val="0"/>
          <w:marTop w:val="0"/>
          <w:marBottom w:val="0"/>
          <w:divBdr>
            <w:top w:val="none" w:sz="0" w:space="0" w:color="auto"/>
            <w:left w:val="none" w:sz="0" w:space="0" w:color="auto"/>
            <w:bottom w:val="none" w:sz="0" w:space="0" w:color="auto"/>
            <w:right w:val="none" w:sz="0" w:space="0" w:color="auto"/>
          </w:divBdr>
        </w:div>
        <w:div w:id="800148465">
          <w:marLeft w:val="480"/>
          <w:marRight w:val="0"/>
          <w:marTop w:val="0"/>
          <w:marBottom w:val="0"/>
          <w:divBdr>
            <w:top w:val="none" w:sz="0" w:space="0" w:color="auto"/>
            <w:left w:val="none" w:sz="0" w:space="0" w:color="auto"/>
            <w:bottom w:val="none" w:sz="0" w:space="0" w:color="auto"/>
            <w:right w:val="none" w:sz="0" w:space="0" w:color="auto"/>
          </w:divBdr>
        </w:div>
        <w:div w:id="34698160">
          <w:marLeft w:val="480"/>
          <w:marRight w:val="0"/>
          <w:marTop w:val="0"/>
          <w:marBottom w:val="0"/>
          <w:divBdr>
            <w:top w:val="none" w:sz="0" w:space="0" w:color="auto"/>
            <w:left w:val="none" w:sz="0" w:space="0" w:color="auto"/>
            <w:bottom w:val="none" w:sz="0" w:space="0" w:color="auto"/>
            <w:right w:val="none" w:sz="0" w:space="0" w:color="auto"/>
          </w:divBdr>
        </w:div>
        <w:div w:id="1487279727">
          <w:marLeft w:val="480"/>
          <w:marRight w:val="0"/>
          <w:marTop w:val="0"/>
          <w:marBottom w:val="0"/>
          <w:divBdr>
            <w:top w:val="none" w:sz="0" w:space="0" w:color="auto"/>
            <w:left w:val="none" w:sz="0" w:space="0" w:color="auto"/>
            <w:bottom w:val="none" w:sz="0" w:space="0" w:color="auto"/>
            <w:right w:val="none" w:sz="0" w:space="0" w:color="auto"/>
          </w:divBdr>
        </w:div>
        <w:div w:id="1077048415">
          <w:marLeft w:val="480"/>
          <w:marRight w:val="0"/>
          <w:marTop w:val="0"/>
          <w:marBottom w:val="0"/>
          <w:divBdr>
            <w:top w:val="none" w:sz="0" w:space="0" w:color="auto"/>
            <w:left w:val="none" w:sz="0" w:space="0" w:color="auto"/>
            <w:bottom w:val="none" w:sz="0" w:space="0" w:color="auto"/>
            <w:right w:val="none" w:sz="0" w:space="0" w:color="auto"/>
          </w:divBdr>
        </w:div>
        <w:div w:id="496919332">
          <w:marLeft w:val="480"/>
          <w:marRight w:val="0"/>
          <w:marTop w:val="0"/>
          <w:marBottom w:val="0"/>
          <w:divBdr>
            <w:top w:val="none" w:sz="0" w:space="0" w:color="auto"/>
            <w:left w:val="none" w:sz="0" w:space="0" w:color="auto"/>
            <w:bottom w:val="none" w:sz="0" w:space="0" w:color="auto"/>
            <w:right w:val="none" w:sz="0" w:space="0" w:color="auto"/>
          </w:divBdr>
        </w:div>
        <w:div w:id="311520508">
          <w:marLeft w:val="480"/>
          <w:marRight w:val="0"/>
          <w:marTop w:val="0"/>
          <w:marBottom w:val="0"/>
          <w:divBdr>
            <w:top w:val="none" w:sz="0" w:space="0" w:color="auto"/>
            <w:left w:val="none" w:sz="0" w:space="0" w:color="auto"/>
            <w:bottom w:val="none" w:sz="0" w:space="0" w:color="auto"/>
            <w:right w:val="none" w:sz="0" w:space="0" w:color="auto"/>
          </w:divBdr>
        </w:div>
        <w:div w:id="607277018">
          <w:marLeft w:val="480"/>
          <w:marRight w:val="0"/>
          <w:marTop w:val="0"/>
          <w:marBottom w:val="0"/>
          <w:divBdr>
            <w:top w:val="none" w:sz="0" w:space="0" w:color="auto"/>
            <w:left w:val="none" w:sz="0" w:space="0" w:color="auto"/>
            <w:bottom w:val="none" w:sz="0" w:space="0" w:color="auto"/>
            <w:right w:val="none" w:sz="0" w:space="0" w:color="auto"/>
          </w:divBdr>
        </w:div>
      </w:divsChild>
    </w:div>
    <w:div w:id="1938832249">
      <w:bodyDiv w:val="1"/>
      <w:marLeft w:val="0"/>
      <w:marRight w:val="0"/>
      <w:marTop w:val="0"/>
      <w:marBottom w:val="0"/>
      <w:divBdr>
        <w:top w:val="none" w:sz="0" w:space="0" w:color="auto"/>
        <w:left w:val="none" w:sz="0" w:space="0" w:color="auto"/>
        <w:bottom w:val="none" w:sz="0" w:space="0" w:color="auto"/>
        <w:right w:val="none" w:sz="0" w:space="0" w:color="auto"/>
      </w:divBdr>
    </w:div>
    <w:div w:id="2024162356">
      <w:bodyDiv w:val="1"/>
      <w:marLeft w:val="0"/>
      <w:marRight w:val="0"/>
      <w:marTop w:val="0"/>
      <w:marBottom w:val="0"/>
      <w:divBdr>
        <w:top w:val="none" w:sz="0" w:space="0" w:color="auto"/>
        <w:left w:val="none" w:sz="0" w:space="0" w:color="auto"/>
        <w:bottom w:val="none" w:sz="0" w:space="0" w:color="auto"/>
        <w:right w:val="none" w:sz="0" w:space="0" w:color="auto"/>
      </w:divBdr>
    </w:div>
    <w:div w:id="2064675405">
      <w:bodyDiv w:val="1"/>
      <w:marLeft w:val="0"/>
      <w:marRight w:val="0"/>
      <w:marTop w:val="0"/>
      <w:marBottom w:val="0"/>
      <w:divBdr>
        <w:top w:val="none" w:sz="0" w:space="0" w:color="auto"/>
        <w:left w:val="none" w:sz="0" w:space="0" w:color="auto"/>
        <w:bottom w:val="none" w:sz="0" w:space="0" w:color="auto"/>
        <w:right w:val="none" w:sz="0" w:space="0" w:color="auto"/>
      </w:divBdr>
    </w:div>
    <w:div w:id="210522651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7B5C019D-FAAE-4EAC-A001-41B7C200B5C8}"/>
      </w:docPartPr>
      <w:docPartBody>
        <w:p w:rsidR="00FB548E" w:rsidRDefault="00744D4C">
          <w:r w:rsidRPr="00A57F30">
            <w:rPr>
              <w:rStyle w:val="Testosegnaposto"/>
            </w:rPr>
            <w:t>Fare clic o toccare qui per immettere il testo.</w:t>
          </w:r>
        </w:p>
      </w:docPartBody>
    </w:docPart>
    <w:docPart>
      <w:docPartPr>
        <w:name w:val="CDCA9DB853544365A0569AE626495206"/>
        <w:category>
          <w:name w:val="Generale"/>
          <w:gallery w:val="placeholder"/>
        </w:category>
        <w:types>
          <w:type w:val="bbPlcHdr"/>
        </w:types>
        <w:behaviors>
          <w:behavior w:val="content"/>
        </w:behaviors>
        <w:guid w:val="{AAF22B17-BF77-4F3D-90BB-627F4D6DDBC1}"/>
      </w:docPartPr>
      <w:docPartBody>
        <w:p w:rsidR="00D91AE9" w:rsidRDefault="00D91AE9" w:rsidP="00D91AE9">
          <w:pPr>
            <w:pStyle w:val="CDCA9DB853544365A0569AE626495206"/>
          </w:pPr>
          <w:r w:rsidRPr="00A57F30">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D4C"/>
    <w:rsid w:val="000912CD"/>
    <w:rsid w:val="00286FF3"/>
    <w:rsid w:val="00341078"/>
    <w:rsid w:val="00483311"/>
    <w:rsid w:val="006370EC"/>
    <w:rsid w:val="00744D4C"/>
    <w:rsid w:val="0087575A"/>
    <w:rsid w:val="00BA26C4"/>
    <w:rsid w:val="00BB2A21"/>
    <w:rsid w:val="00D91AE9"/>
    <w:rsid w:val="00D9285A"/>
    <w:rsid w:val="00FB54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D91AE9"/>
    <w:rPr>
      <w:color w:val="666666"/>
    </w:rPr>
  </w:style>
  <w:style w:type="paragraph" w:customStyle="1" w:styleId="CDCA9DB853544365A0569AE626495206">
    <w:name w:val="CDCA9DB853544365A0569AE626495206"/>
    <w:rsid w:val="00D91AE9"/>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428130A-A7C4-4694-BE8A-E166F88AD7C7}">
  <we:reference id="f78a3046-9e99-4300-aa2b-5814002b01a2" version="1.55.1.0" store="EXCatalog" storeType="EXCatalog"/>
  <we:alternateReferences>
    <we:reference id="WA104382081" version="1.55.1.0" store="it-IT" storeType="OMEX"/>
  </we:alternateReferences>
  <we:properties>
    <we:property name="MENDELEY_CITATIONS" value="[{&quot;citationID&quot;:&quot;MENDELEY_CITATION_796b8d50-c76b-42c3-bec3-43899a91febc&quot;,&quot;properties&quot;:{&quot;noteIndex&quot;:0},&quot;isEdited&quot;:false,&quot;manualOverride&quot;:{&quot;isManuallyOverridden&quot;:true,&quot;citeprocText&quot;:&quot;(UNFCCC, 2015)&quot;,&quot;manualOverrideText&quot;:&quot;(UNFCCC, 2015)(UNFCCC, 2015)(UNFCCC, 2015)&quot;},&quot;citationTag&quot;:&quot;MENDELEY_CITATION_v3_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&quot;,&quot;citationItems&quot;:[{&quot;id&quot;:&quot;1b70f58a-ccac-332e-84fa-dfbfc2af4563&quot;,&quot;itemData&quot;:{&quot;type&quot;:&quot;webpage&quot;,&quot;id&quot;:&quot;1b70f58a-ccac-332e-84fa-dfbfc2af4563&quot;,&quot;title&quot;:&quot;Paris Agreement. 21st Conf Parties&quot;,&quot;author&quot;:[{&quot;family&quot;:&quot;UNFCCC&quot;,&quot;given&quot;:&quot;&quot;,&quot;parse-names&quot;:false,&quot;dropping-particle&quot;:&quot;&quot;,&quot;non-dropping-particle&quot;:&quot;&quot;}],&quot;container-title&quot;:&quot;Paris Climate Change Conference - November 2015&quot;,&quot;accessed&quot;:{&quot;date-parts&quot;:[[2021,8,9]]},&quot;URL&quot;:&quot;https://unfccc.int/process-and-meetings/the-paris-agreement/the-paris-agreement&quot;,&quot;issued&quot;:{&quot;date-parts&quot;:[[2015]]},&quot;container-title-short&quot;:&quot;&quot;},&quot;isTemporary&quot;:false}]},{&quot;citationID&quot;:&quot;MENDELEY_CITATION_60db981c-cc68-4fc8-a5f4-e626b58bbce6&quot;,&quot;properties&quot;:{&quot;noteIndex&quot;:0},&quot;isEdited&quot;:false,&quot;manualOverride&quot;:{&quot;isManuallyOverridden&quot;:true,&quot;citeprocText&quot;:&quot;(IEA, 2021)&quot;,&quot;manualOverrideText&quot;:&quot;(IEA, 2021)(IEA, 2021)&quot;},&quot;citationTag&quot;:&quot;MENDELEY_CITATION_v3_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&quot;,&quot;citationItems&quot;:[{&quot;id&quot;:&quot;5cac012e-d7f3-3c0d-85bd-e958c14f547a&quot;,&quot;itemData&quot;:{&quot;type&quot;:&quot;report&quot;,&quot;id&quot;:&quot;5cac012e-d7f3-3c0d-85bd-e958c14f547a&quot;,&quot;title&quot;:&quot;Key World Energy Statistics, IEA, Paris&quot;,&quot;author&quot;:[{&quot;family&quot;:&quot;IEA&quot;,&quot;given&quot;:&quot;&quot;,&quot;parse-names&quot;:false,&quot;dropping-particle&quot;:&quot;&quot;,&quot;non-dropping-particle&quot;:&quot;&quot;}],&quot;URL&quot;:&quot;https://www.iea.org/reports/key-world-energy-statistics-2021&quot;,&quot;issued&quot;:{&quot;date-parts&quot;:[[2021]]},&quot;container-title-short&quot;:&quot;&quot;},&quot;isTemporary&quot;:false}]},{&quot;citationID&quot;:&quot;MENDELEY_CITATION_07e5f634-36f2-4b96-90f4-e77a473cc880&quot;,&quot;properties&quot;:{&quot;noteIndex&quot;:0},&quot;isEdited&quot;:false,&quot;manualOverride&quot;:{&quot;isManuallyOverridden&quot;:true,&quot;citeprocText&quot;:&quot;(Gholamian et al., 2016; Papa et al., 2022)&quot;,&quot;manualOverrideText&quot;:&quot;(Gholamian et al., 2016; Papa et al., 2022)(Gholamian et al., 2016; Papa et al., 2022)(Gholamian et al., 2016; Papa et al., 2022)(Gholamian et al., 2016; Papa et al., 2022)(Gholamian et al., 2016; Papa et al., 2022)(Gholamian et al., 2016; Papa et al., 2022)(Gholamian et al., 2016; Papa et al., 2022)(Gholamian et al., 2016; Papa et al., 2022)&quot;},&quot;citationTag&quot;:&quot;MENDELEY_CITATION_v3_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&quot;,&quot;citationItems&quot;:[{&quot;id&quot;:&quot;78052175-af07-30cb-8724-f3655c1d32a3&quot;,&quot;itemData&quot;:{&quot;type&quot;:&quot;article-journal&quot;,&quot;id&quot;:&quot;78052175-af07-30cb-8724-f3655c1d32a3&quot;,&quot;title&quot;:&quot;Biomass as a Renewable Source to Produce Synthesis Gas by Catalytic Gasification Process&quot;,&quot;author&quot;:[{&quot;family&quot;:&quot;Papa&quot;,&quot;given&quot;:&quot;Alessandro A.&quot;,&quot;parse-names&quot;:false,&quot;dropping-particle&quot;:&quot;&quot;,&quot;non-dropping-particle&quot;:&quot;&quot;},{&quot;family&quot;:&quot;Carlo&quot;,&quot;given&quot;:&quot;Andrea&quot;,&quot;parse-names&quot;:false,&quot;dropping-particle&quot;:&quot;&quot;,&quot;non-dropping-particle&quot;:&quot;Di&quot;},{&quot;family&quot;:&quot;Rapagnà&quot;,&quot;given&quot;:&quot;Sergio&quot;,&quot;parse-names&quot;:false,&quot;dropping-particle&quot;:&quot;&quot;,&quot;non-dropping-particle&quot;:&quot;&quot;}],&quot;container-title&quot;:&quot;Chemical Engineering Transactions&quot;,&quot;container-title-short&quot;:&quot;Chem Eng Trans&quot;,&quot;DOI&quot;:&quot;10.3303/CET2292050&quot;,&quot;ISBN&quot;:&quot;9788895608907&quot;,&quot;ISSN&quot;:&quot;22839216&quot;,&quot;issued&quot;:{&quot;date-parts&quot;:[[2022]]},&quot;page&quot;:&quot;295-300&quot;,&quot;abstract&quot;:&quot;Technical feasibility to reduce tar concentration in the gas obtained by steam gasification of biomass by using a continuous biomass gasification plant, mainly composed of a fluidized bed gasifier with an internal diameter of 0.1 m containing in its freeboard a ceramic candles filled with commercial catalyst pellets used for the steam reforming of naphtha was verified. The tests have shown that it is possible to obtain a tar reduction in the producer gas comparable to that obtained by using a vegetable oil absorption plant. This process configuration allows you to reach greater energy efficiency of the entire gasification process as the transformation of tar compounds into light gases such as H2 and CO. The catalyst strongly reduces the concentration of NH3 to levels of about 30 ppm and methane to concentrations below 1% by volume.&quot;,&quot;issue&quot;:&quot;March&quot;,&quot;volume&quot;:&quot;92&quot;},&quot;isTemporary&quot;:false},{&quot;id&quot;:&quot;677d0818-9414-36dc-a1d2-3e948196b6ae&quot;,&quot;itemData&quot;:{&quot;type&quot;:&quot;article-journal&quot;,&quot;id&quot;:&quot;677d0818-9414-36dc-a1d2-3e948196b6ae&quot;,&quot;title&quot;:&quot;Integration of biomass gasification with a solid oxide fuel cell in a combined cooling, heating and power system: A thermodynamic and environmental analysis&quot;,&quot;author&quot;:[{&quot;family&quot;:&quot;Gholamian&quot;,&quot;given&quot;:&quot;E.&quot;,&quot;parse-names&quot;:false,&quot;dropping-particle&quot;:&quot;&quot;,&quot;non-dropping-particle&quot;:&quot;&quot;},{&quot;family&quot;:&quot;Zare&quot;,&quot;given&quot;:&quot;V.&quot;,&quot;parse-names&quot;:false,&quot;dropping-particle&quot;:&quot;&quot;,&quot;non-dropping-particle&quot;:&quot;&quot;},{&quot;family&quot;:&quot;Mousavi&quot;,&quot;given&quot;:&quot;Seyed Mostafa&quot;,&quot;parse-names&quot;:false,&quot;dropping-particle&quot;:&quot;&quot;,&quot;non-dropping-particle&quot;:&quot;&quot;}],&quot;container-title&quot;:&quot;International Journal of Hydrogen Energy&quot;,&quot;container-title-short&quot;:&quot;Int J Hydrogen Energy&quot;,&quot;accessed&quot;:{&quot;date-parts&quot;:[[2023,12,14]]},&quot;DOI&quot;:&quot;10.1016/J.IJHYDENE.2016.07.217&quot;,&quot;ISSN&quot;:&quot;0360-3199&quot;,&quot;issued&quot;:{&quot;date-parts&quot;:[[2016,11,26]]},&quot;page&quot;:&quot;20396-20406&quot;,&quot;abstract&quot;:&quot;A biomass-fueled combined cooling, heating and power (CCHP) system is proposed and thermodynamically assessed. The system consists of a biomass gasifier (as the primary energy source), a solid oxide fuel cell (as the power generation unit), a double effect absorption refrigeration cycle (for cooling production) and a HRSG (for steam production for heating purposes). Taking into account the environmental considerations, energy and exergy analyses are conducted for the proposed system and its performance is compared with the corresponding power generation unit and the CHP system. Through a parametric study it is observed that the current density and fuel utilization factor play key roles on the system performance. In addition, considering the system as a combination of three subsystems, i.e. the SOFC, CHP system and CCHP system, an environmental impact assessment in terms of CO2 emission is conducted. Municipal solid waste is examined as biomass and it is observed that maximum exergy efficiency of the CCHP system is 37.92% with a CO2 emission of 20.37 t/MWh which shows an increase of 49.88% in exergy efficiency and 64.02% decrease in CO2 emission, compared to the solo SOFC system. It is concluded that the air heat exchanger and the gasifier are two major sources of irreversibility in the system and the exergy loss is considerable compared to after burners’ exergy destruction.&quot;,&quot;publisher&quot;:&quot;Pergamon&quot;,&quot;issue&quot;:&quot;44&quot;,&quot;volume&quot;:&quot;41&quot;},&quot;isTemporary&quot;:false}]},{&quot;citationID&quot;:&quot;MENDELEY_CITATION_027d94b0-558f-4b49-a2e9-e8aa71057cf6&quot;,&quot;properties&quot;:{&quot;noteIndex&quot;:0},&quot;isEdited&quot;:false,&quot;manualOverride&quot;:{&quot;isManuallyOverridden&quot;:true,&quot;citeprocText&quot;:&quot;(Ouweltjes, 2019)&quot;,&quot;manualOverrideText&quot;:&quot;(Ouweltjes, 2019)(Ouweltjes, 2019)(Ouweltjes, 2019)(Ouweltjes, 2019)(Ouweltjes, 2019)(Ouweltjes, 2019)(Ouweltjes, 2019)(Ouweltjes, 2019)&quot;},&quot;citationTag&quot;:&quot;MENDELEY_CITATION_v3_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&quot;,&quot;citationItems&quot;:[{&quot;id&quot;:&quot;9ad9ea99-729c-3e99-94e4-e5f0ae74e751&quot;,&quot;itemData&quot;:{&quot;type&quot;:&quot;report&quot;,&quot;id&quot;:&quot;9ad9ea99-729c-3e99-94e4-e5f0ae74e751&quot;,&quot;title&quot;:&quot;\&quot;Report summarising the literature review\&quot; for Selection of Representative Syngas Compositions including Organic and Inorganic Contaminants&quot;,&quot;author&quot;:[{&quot;family&quot;:&quot;Ouweltjes&quot;,&quot;given&quot;:&quot;J.P.&quot;,&quot;parse-names&quot;:false,&quot;dropping-particle&quot;:&quot;&quot;,&quot;non-dropping-particle&quot;:&quot;&quot;}],&quot;issued&quot;:{&quot;date-parts&quot;:[[2019]]},&quot;number-of-pages&quot;:&quot;31&quot;,&quot;container-title-short&quot;:&quot;&quot;},&quot;isTemporary&quot;:false}]},{&quot;citationID&quot;:&quot;MENDELEY_CITATION_f706f01a-a6b0-4c82-b781-6b337eaacf3a&quot;,&quot;properties&quot;:{&quot;noteIndex&quot;:0},&quot;isEdited&quot;:false,&quot;manualOverride&quot;:{&quot;isManuallyOverridden&quot;:true,&quot;citeprocText&quot;:&quot;(Asadullah, 2014)&quot;,&quot;manualOverrideText&quot;:&quot;(Asadullah, 2014)(Asadullah, 2014)(Asadullah, 2014)(Asadullah, 2014)(Asadullah, 2014)(Asadullah, 2014)(Asadullah, 2014)(Asadullah, 2014)&quot;},&quot;citationTag&quot;:&quot;MENDELEY_CITATION_v3_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&quot;,&quot;citationItems&quot;:[{&quot;id&quot;:&quot;eb0a56fa-2eb4-3623-b897-63302e38778e&quot;,&quot;itemData&quot;:{&quot;type&quot;:&quot;article-journal&quot;,&quot;id&quot;:&quot;eb0a56fa-2eb4-3623-b897-63302e38778e&quot;,&quot;title&quot;:&quot;Biomass gasification gas cleaning for downstream applications: A comparative critical review&quot;,&quot;author&quot;:[{&quot;family&quot;:&quot;Asadullah&quot;,&quot;given&quot;:&quot;Mohammad&quot;,&quot;parse-names&quot;:false,&quot;dropping-particle&quot;:&quot;&quot;,&quot;non-dropping-particle&quot;:&quot;&quot;}],&quot;container-title&quot;:&quot;Renewable and Sustainable Energy Reviews&quot;,&quot;accessed&quot;:{&quot;date-parts&quot;:[[2023,12,14]]},&quot;DOI&quot;:&quot;10.1016/J.RSER.2014.07.132&quot;,&quot;ISSN&quot;:&quot;1364-0321&quot;,&quot;issued&quot;:{&quot;date-parts&quot;:[[2014,12,1]]},&quot;page&quot;:&quot;118-132&quot;,&quot;abstract&quot;:&quot;Biomass is the only source on earth that can store solar energy in the chemical bond during its growth. This stored energy can be utilized by means of thermochemical conversion of biomass. Gasification is one of the promising thermochemical conversion technologies, which converts biomass to burnable gases, often termed as producer gas. Major components of this gas are hydrogen, carbon monoxide and methane. Depending on the purity, this gas can be used in the furnace for heat generation and in the internal combustion engine and fuel cell for power generation or it can be converted to liquid hydrocarbon fuels and chemicals via the Fischer-Tropsch synthesis method. Despite numerous applications of the biomass gasification gas, it is still under developing stage due to some severe technological challenges. Impurities such as tar, particulate matters and poisonous gases including ammonia, hydrochloric acid and sulfur gases, which are unavoidably produced during gasification, create severe problems in downstream applications. Therefore, the cleaning of producer gas is essential before being utilized. However, the conventional physical filtration is not a technically and environmentally viable process for gasification gas cleaning. The utilization of catalyst for hot gas cleaning is one of the most popular technologies for gas cleaning. The catalyst bed can reform tar molecules to gas on the one hand and destroy or adsorb poisonous gases and particulates on the other hand, so as to produce clean gas. However, numerous criteria need to be considered to select the suitable catalyst for commercial use. In this review, the advantages and disadvantages of different gas cleaning methods are critically discussed and concluded that the catalytic hot gas cleaning with highly efficient catalyst is the most viable options for large-scale production of clean producer gas. © 2014 Published by Elsevier Ltd.&quot;,&quot;publisher&quot;:&quot;Pergamon&quot;,&quot;volume&quot;:&quot;40&quot;,&quot;container-title-short&quot;:&quot;&quot;},&quot;isTemporary&quot;:false}]},{&quot;citationID&quot;:&quot;MENDELEY_CITATION_dd0ed5f3-5c7d-4786-a2f1-7b3162433283&quot;,&quot;properties&quot;:{&quot;noteIndex&quot;:0},&quot;isEdited&quot;:false,&quot;manualOverride&quot;:{&quot;isManuallyOverridden&quot;:true,&quot;citeprocText&quot;:&quot;(Papa et al., 2023)&quot;,&quot;manualOverrideText&quot;:&quot;(Papa et al., 2023)(Papa et al., 2023)(Papa et al., 2023)(Papa et al., 2023)(Papa et al., 2023)(Papa et al., 2023)(Papa et al., 2023)(Papa et al., 2023)&quot;},&quot;citationTag&quot;:&quot;MENDELEY_CITATION_v3_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&quot;,&quot;citationItems&quot;:[{&quot;id&quot;:&quot;6dda96a5-c27f-3407-a3d6-d092993e2596&quot;,&quot;itemData&quot;:{&quot;type&quot;:&quot;article-journal&quot;,&quot;id&quot;:&quot;6dda96a5-c27f-3407-a3d6-d092993e2596&quot;,&quot;title&quot;:&quot;Synergic Effects of Bed Materials and Catalytic Filter Candle for the Conversion of Tar during Biomass Steam Gasification&quot;,&quot;author&quot;:[{&quot;family&quot;:&quot;Papa&quot;,&quot;given&quot;:&quot;Alessandro Antonio&quot;,&quot;parse-names&quot;:false,&quot;dropping-particle&quot;:&quot;&quot;,&quot;non-dropping-particle&quot;:&quot;&quot;},{&quot;family&quot;:&quot;Savuto&quot;,&quot;given&quot;:&quot;Elisa&quot;,&quot;parse-names&quot;:false,&quot;dropping-particle&quot;:&quot;&quot;,&quot;non-dropping-particle&quot;:&quot;&quot;},{&quot;family&quot;:&quot;Carlo&quot;,&quot;given&quot;:&quot;Andrea&quot;,&quot;parse-names&quot;:false,&quot;dropping-particle&quot;:&quot;Di&quot;,&quot;non-dropping-particle&quot;:&quot;&quot;},{&quot;family&quot;:&quot;Tacconi&quot;,&quot;given&quot;:&quot;Alessandra&quot;,&quot;parse-names&quot;:false,&quot;dropping-particle&quot;:&quot;&quot;,&quot;non-dropping-particle&quot;:&quot;&quot;},{&quot;family&quot;:&quot;Rapagnà&quot;,&quot;given&quot;:&quot;Sergio&quot;,&quot;parse-names&quot;:false,&quot;dropping-particle&quot;:&quot;&quot;,&quot;non-dropping-particle&quot;:&quot;&quot;}],&quot;container-title&quot;:&quot;Energies 2023, Vol. 16, Page 595&quot;,&quot;accessed&quot;:{&quot;date-parts&quot;:[[2023,1,31]]},&quot;DOI&quot;:&quot;10.3390/EN16020595&quot;,&quot;ISSN&quot;:&quot;1996-1073&quot;,&quot;URL&quot;:&quot;https://www.mdpi.com/1996-1073/16/2/595/htm&quot;,&quot;issued&quot;:{&quot;date-parts&quot;:[[2023,1,4]]},&quot;page&quot;:&quot;595&quot;,&quot;abstract&quot;:&quot;This work concerns the activities of the European project BLAZE that aims to integrate a pilot-scale gasifier unit with a Solid Oxide Fuel Cell (SOFC). The objective is to identify the optimal operating conditions for a gasifier and hot gas cleaning and conditioning unit to produce H2-rich syngas with contaminants levels within the limits for the safe operation of the SOFC (750 mg/Nm3 and 75 mg/Nm3 for toluene and naphthalene, respectively). Experimental tests were carried out on a bench-scale gasification plant with a catalytic filter candle placed in the freeboard, to study the influence of temperature (1032 up to 1137 K), bed materials (olivine or olivine/dolomite 80/20%), and a nickel-based catalyst. The tests with a ceramic filter candle filled with catalyst and the mixture of olivine and dolomite in the bed gave the best results in terms of gas composition and gas yield, but the tar content was still higher than the limits for the SOFC. To increase the residence time of the gas in the catalytic bed a new metallic filter candle was tested. This candle, with almost the same external volume, allowed doubling the amount of catalyst used. Under these conditions, the content of toluene and naphthalene was reduced below 150 and 50 mg/Nm3, respectively.&quot;,&quot;publisher&quot;:&quot;Multidisciplinary Digital Publishing Institute&quot;,&quot;issue&quot;:&quot;2&quot;,&quot;volume&quot;:&quot;16&quot;,&quot;container-title-short&quot;:&quot;&quot;},&quot;isTemporary&quot;:false}]},{&quot;citationID&quot;:&quot;MENDELEY_CITATION_91a59cee-796b-484e-9b4a-7d4a39eb4637&quot;,&quot;properties&quot;:{&quot;noteIndex&quot;:0},&quot;isEdited&quot;:false,&quot;manualOverride&quot;:{&quot;isManuallyOverridden&quot;:true,&quot;citeprocText&quot;:&quot;(Heidenreich &amp;#38; Foscolo, 2015)&quot;,&quot;manualOverrideText&quot;:&quot;(Heidenreich &amp; Foscolo, 2015)(Heidenreich &amp; Foscolo, 2015)(Heidenreich &amp; Foscolo, 2015)(Heidenreich &amp; Foscolo, 2015)(Heidenreich &amp; Foscolo, 2015)(Heidenreich &amp; Foscolo, 2015)(Heidenreich &amp; Foscolo, 2015)(Heidenreich &amp; Foscolo, 2015)&quot;},&quot;citationTag&quot;:&quot;MENDELEY_CITATION_v3_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&quot;,&quot;citationItems&quot;:[{&quot;id&quot;:&quot;f5508e47-bdec-3b10-838a-ea0a7821e7cd&quot;,&quot;itemData&quot;:{&quot;type&quot;:&quot;article-journal&quot;,&quot;id&quot;:&quot;f5508e47-bdec-3b10-838a-ea0a7821e7cd&quot;,&quot;title&quot;:&quot;New concepts in biomass gasification&quot;,&quot;author&quot;:[{&quot;family&quot;:&quot;Heidenreich&quot;,&quot;given&quot;:&quot;Steffen&quot;,&quot;parse-names&quot;:false,&quot;dropping-particle&quot;:&quot;&quot;,&quot;non-dropping-particle&quot;:&quot;&quot;},{&quot;family&quot;:&quot;Foscolo&quot;,&quot;given&quot;:&quot;Pier Ugo&quot;,&quot;parse-names&quot;:false,&quot;dropping-particle&quot;:&quot;&quot;,&quot;non-dropping-particle&quot;:&quot;&quot;}],&quot;container-title&quot;:&quot;Progress in Energy and Combustion Science&quot;,&quot;container-title-short&quot;:&quot;Prog Energy Combust Sci&quot;,&quot;accessed&quot;:{&quot;date-parts&quot;:[[2023,12,14]]},&quot;DOI&quot;:&quot;10.1016/J.PECS.2014.06.002&quot;,&quot;ISSN&quot;:&quot;0360-1285&quot;,&quot;issued&quot;:{&quot;date-parts&quot;:[[2015,2,1]]},&quot;page&quot;:&quot;72-95&quot;,&quot;abstract&quot;:&quot;Gasification is considered as a key technology for the use of biomass. In order to promote this technology in the future, advanced, cost-effective, and highly efficient gasification processes and systems are required. This paper provides a detailed review on new concepts in biomass gasification. Concepts for process integration and combination aim to enable higher process efficiencies, better gas quality and purity, and lower investment costs. The recently developed UNIQUE gasifier which integrates gasification, gas cleaning and conditioning in one reactor unit is an example for a promising process integration. Other interesting concepts combine pyrolysis and gasification or gasification and combustion in single controlled stages. An approach to improve the economic viability and sustainability of the utilization of biomass via gasification is the combined production of more than one product. Polygeneration strategies for the production of multiple energy products from biomass gasification syngas offer high efficiency and flexibility.&quot;,&quot;publisher&quot;:&quot;Pergamon&quot;,&quot;volume&quot;:&quot;46&quot;},&quot;isTemporary&quot;:false}]},{&quot;citationID&quot;:&quot;MENDELEY_CITATION_aa34ece4-d414-4c3e-b80c-d0867aee1863&quot;,&quot;properties&quot;:{&quot;noteIndex&quot;:0},&quot;isEdited&quot;:false,&quot;manualOverride&quot;:{&quot;isManuallyOverridden&quot;:true,&quot;citeprocText&quot;:&quot;(Tacconi et al., 2022)&quot;,&quot;manualOverrideText&quot;:&quot;(Tacconi et al., 2022)(Tacconi et al., 2022)(Tacconi et al., 2022)(Tacconi et al., 2022)(Tacconi et al., 2022)(Tacconi et al., 2022)(Tacconi et al., 2022)(Tacconi et al., 2022)&quot;},&quot;citationTag&quot;:&quot;MENDELEY_CITATION_v3_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&quot;,&quot;citationItems&quot;:[{&quot;id&quot;:&quot;94c3dc4b-a76c-3535-9faf-d4e1b19231a0&quot;,&quot;itemData&quot;:{&quot;type&quot;:&quot;article-journal&quot;,&quot;id&quot;:&quot;94c3dc4b-a76c-3535-9faf-d4e1b19231a0&quot;,&quot;title&quot;:&quot;Laboratory-Scale Study of Nickel-Catalyst Pellets Performance for Tar Steam Reforming Obtained from Biomass Gasification&quot;,&quot;author&quot;:[{&quot;family&quot;:&quot;Tacconi&quot;,&quot;given&quot;:&quot;Alessandra&quot;,&quot;parse-names&quot;:false,&quot;dropping-particle&quot;:&quot;&quot;,&quot;non-dropping-particle&quot;:&quot;&quot;},{&quot;family&quot;:&quot;Savuto&quot;,&quot;given&quot;:&quot;Elisa&quot;,&quot;parse-names&quot;:false,&quot;dropping-particle&quot;:&quot;&quot;,&quot;non-dropping-particle&quot;:&quot;&quot;},{&quot;family&quot;:&quot;Giuliano&quot;,&quot;given&quot;:&quot;Andrea&quot;,&quot;parse-names&quot;:false,&quot;dropping-particle&quot;:&quot;&quot;,&quot;non-dropping-particle&quot;:&quot;Di&quot;},{&quot;family&quot;:&quot;Carlo&quot;,&quot;given&quot;:&quot;Andrea&quot;,&quot;parse-names&quot;:false,&quot;dropping-particle&quot;:&quot;&quot;,&quot;non-dropping-particle&quot;:&quot;Di&quot;}],&quot;container-title&quot;:&quot;Chemical Engineering Transactions&quot;,&quot;container-title-short&quot;:&quot;Chem Eng Trans&quot;,&quot;DOI&quot;:&quot;10.3303/CET2292110&quot;,&quot;ISBN&quot;:&quot;9788895608907&quot;,&quot;ISSN&quot;:&quot;22839216&quot;,&quot;issued&quot;:{&quot;date-parts&quot;:[[2022]]},&quot;page&quot;:&quot;655-660&quot;,&quot;abstract&quot;:&quot;Biomass steam gasification is a promising solution to obtain an H2-rich syngas to be exploited in high temperature SOFC to produce electricity with high efficiency and a reduced environmental impact. The aim of the H2020 BLAZE project is to integrate a dual fluidized bed biomass gasifier with a 25 kWe SOFC. Tars, in any case, have been identified as one of the major impurities in biomass gasification fuel gas, causing degradation of the anodes of the SOFC due to carbon deposition. Hot gas cleaning and conditioning using ceramic filter candles, filled with an annular packed-bed of commercial nickel-based catalyst, has been identified as the best solution to convert tars and reduce them to few hundreds of mg Nm-3. This work reports the results obtained in one task of the BLAZE project, in which two different commercial catalysts supplied by Johnson Matthey (catalyst A and catalyst B) have been tested at micro-reactor scale to evaluate their activity for the steam reforming of tar with the presence of sulfur compounds, which act as catalyst deactivators, and at temperatures comparable with those obtainable in biomass steam gasification. The main objective of this work was to evaluate which catalyst could be used inside the filter candles in the BLAZE power plant and which are the best operating conditions to have a conversion of tar as required for the SOFC. Twelve tests were conducted, six for each catalyst, varying both the temperature (750, 800 and 850 °C) and the concentration of thiophene in the pseudo-tar solution fed, a compound used to simulate the sulfur compounds deactivators of the catalyst (one with 50 ppm of thiophene, the other with 100 ppm). The results show that the hydrocarbons conversion increases (reaching 100%) with increasing temperature and decreasing thiophene concentration. Furthermore, catalyst A showed better performance than B.&quot;,&quot;issue&quot;:&quot;March&quot;,&quot;volume&quot;:&quot;92&quot;},&quot;isTemporary&quot;:false}]},{&quot;citationID&quot;:&quot;MENDELEY_CITATION_394657e0-6963-48ee-acd2-be0336539d70&quot;,&quot;properties&quot;:{&quot;noteIndex&quot;:0},&quot;isEdited&quot;:false,&quot;manualOverride&quot;:{&quot;isManuallyOverridden&quot;:true,&quot;citeprocText&quot;:&quot;(Savuto et al., 2019)&quot;,&quot;manualOverrideText&quot;:&quot;Savuto et al., 2019)Savuto et al., 2019)Savuto et al., 2019)Savuto et al., 2019)Savuto et al., 2019)Savuto et al., 2019)Savuto et al., 2019)Savuto et al., 2019)&quot;},&quot;citationTag&quot;:&quot;MENDELEY_CITATION_v3_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&quot;,&quot;citationItems&quot;:[{&quot;id&quot;:&quot;293a83fa-a620-301d-8907-f4bf7a9c908a&quot;,&quot;itemData&quot;:{&quot;type&quot;:&quot;article-journal&quot;,&quot;id&quot;:&quot;293a83fa-a620-301d-8907-f4bf7a9c908a&quot;,&quot;title&quot;:&quot;Syngas conditioning by ceramic filter candles filled with catalyst pellets and placed inside the freeboard of a fluidized bed steam gasifier&quot;,&quot;author&quot;:[{&quot;family&quot;:&quot;Savuto&quot;,&quot;given&quot;:&quot;Elisa&quot;,&quot;parse-names&quot;:false,&quot;dropping-particle&quot;:&quot;&quot;,&quot;non-dropping-particle&quot;:&quot;&quot;},{&quot;family&quot;:&quot;Carlo&quot;,&quot;given&quot;:&quot;Andrea&quot;,&quot;parse-names&quot;:false,&quot;dropping-particle&quot;:&quot;&quot;,&quot;non-dropping-particle&quot;:&quot;Di&quot;},{&quot;family&quot;:&quot;Steele&quot;,&quot;given&quot;:&quot;A&quot;,&quot;parse-names&quot;:false,&quot;dropping-particle&quot;:&quot;&quot;,&quot;non-dropping-particle&quot;:&quot;&quot;},{&quot;family&quot;:&quot;Heidenreich&quot;,&quot;given&quot;:&quot;S&quot;,&quot;parse-names&quot;:false,&quot;dropping-particle&quot;:&quot;&quot;,&quot;non-dropping-particle&quot;:&quot;&quot;},{&quot;family&quot;:&quot;Gallucci&quot;,&quot;given&quot;:&quot;K&quot;,&quot;parse-names&quot;:false,&quot;dropping-particle&quot;:&quot;&quot;,&quot;non-dropping-particle&quot;:&quot;&quot;},{&quot;family&quot;:&quot;Rapagna&quot;,&quot;given&quot;:&quot;S&quot;,&quot;parse-names&quot;:false,&quot;dropping-particle&quot;:&quot;&quot;,&quot;non-dropping-particle&quot;:&quot;&quot;}],&quot;container-title&quot;:&quot;Fuel Processing Technology&quot;,&quot;DOI&quot;:&quot;10.1016/j.fuproc.2019.03.018&quot;,&quot;ISSN&quot;:&quot;0378-3820&quot;,&quot;issued&quot;:{&quot;date-parts&quot;:[[2019]]},&quot;page&quot;:&quot;44-53&quot;,&quot;language&quot;:&quot;English&quot;,&quot;volume&quot;:&quot;191&quot;,&quot;container-title-short&quot;:&quot;&quot;},&quot;isTemporary&quot;:false}]},{&quot;citationID&quot;:&quot;MENDELEY_CITATION_0c637a4d-1124-497d-8d10-fcb02caa7754&quot;,&quot;properties&quot;:{&quot;noteIndex&quot;:0},&quot;isEdited&quot;:false,&quot;manualOverride&quot;:{&quot;isManuallyOverridden&quot;:true,&quot;citeprocText&quot;:&quot;(Savuto et al., 2019)&quot;,&quot;manualOverrideText&quot;:&quot;Savuto et al., 2019)Savuto et al., 2019)Savuto et al., 2019)Savuto et al., 2019)Savuto et al., 2019)Savuto et al., 2019)Savuto et al., 2019)Savuto et al., 2019)&quot;},&quot;citationTag&quot;:&quot;MENDELEY_CITATION_v3_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&quot;,&quot;citationItems&quot;:[{&quot;id&quot;:&quot;293a83fa-a620-301d-8907-f4bf7a9c908a&quot;,&quot;itemData&quot;:{&quot;type&quot;:&quot;article-journal&quot;,&quot;id&quot;:&quot;293a83fa-a620-301d-8907-f4bf7a9c908a&quot;,&quot;title&quot;:&quot;Syngas conditioning by ceramic filter candles filled with catalyst pellets and placed inside the freeboard of a fluidized bed steam gasifier&quot;,&quot;author&quot;:[{&quot;family&quot;:&quot;Savuto&quot;,&quot;given&quot;:&quot;Elisa&quot;,&quot;parse-names&quot;:false,&quot;dropping-particle&quot;:&quot;&quot;,&quot;non-dropping-particle&quot;:&quot;&quot;},{&quot;family&quot;:&quot;Carlo&quot;,&quot;given&quot;:&quot;Andrea&quot;,&quot;parse-names&quot;:false,&quot;dropping-particle&quot;:&quot;&quot;,&quot;non-dropping-particle&quot;:&quot;Di&quot;},{&quot;family&quot;:&quot;Steele&quot;,&quot;given&quot;:&quot;A&quot;,&quot;parse-names&quot;:false,&quot;dropping-particle&quot;:&quot;&quot;,&quot;non-dropping-particle&quot;:&quot;&quot;},{&quot;family&quot;:&quot;Heidenreich&quot;,&quot;given&quot;:&quot;S&quot;,&quot;parse-names&quot;:false,&quot;dropping-particle&quot;:&quot;&quot;,&quot;non-dropping-particle&quot;:&quot;&quot;},{&quot;family&quot;:&quot;Gallucci&quot;,&quot;given&quot;:&quot;K&quot;,&quot;parse-names&quot;:false,&quot;dropping-particle&quot;:&quot;&quot;,&quot;non-dropping-particle&quot;:&quot;&quot;},{&quot;family&quot;:&quot;Rapagna&quot;,&quot;given&quot;:&quot;S&quot;,&quot;parse-names&quot;:false,&quot;dropping-particle&quot;:&quot;&quot;,&quot;non-dropping-particle&quot;:&quot;&quot;}],&quot;container-title&quot;:&quot;Fuel Processing Technology&quot;,&quot;DOI&quot;:&quot;10.1016/j.fuproc.2019.03.018&quot;,&quot;ISSN&quot;:&quot;0378-3820&quot;,&quot;issued&quot;:{&quot;date-parts&quot;:[[2019]]},&quot;page&quot;:&quot;44-53&quot;,&quot;language&quot;:&quot;English&quot;,&quot;volume&quot;:&quot;191&quot;,&quot;container-title-short&quot;:&quot;&quot;},&quot;isTemporary&quot;:false}]},{&quot;citationID&quot;:&quot;MENDELEY_CITATION_b8020431-1463-4ca9-98d0-ed7a7cfb3d95&quot;,&quot;properties&quot;:{&quot;noteIndex&quot;:0},&quot;isEdited&quot;:false,&quot;manualOverride&quot;:{&quot;isManuallyOverridden&quot;:false,&quot;citeprocText&quot;:&quot;(Cao et al., 2018)&quot;,&quot;manualOverrideText&quot;:&quot;&quot;},&quot;citationTag&quot;:&quot;MENDELEY_CITATION_v3_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&quot;,&quot;citationItems&quot;:[{&quot;id&quot;:&quot;a549f6f0-b43f-35ed-abd4-dae815999623&quot;,&quot;itemData&quot;:{&quot;type&quot;:&quot;article-journal&quot;,&quot;id&quot;:&quot;a549f6f0-b43f-35ed-abd4-dae815999623&quot;,&quot;title&quot;:&quot;Effect of atmosphere on carbon deposition of Ni/Al2O3 and Ni-loaded on lignite char during reforming of toluene as a biomass tar model compound&quot;,&quot;author&quot;:[{&quot;family&quot;:&quot;Cao&quot;,&quot;given&quot;:&quot;Jing Pei&quot;,&quot;parse-names&quot;:false,&quot;dropping-particle&quot;:&quot;&quot;,&quot;non-dropping-particle&quot;:&quot;&quot;},{&quot;family&quot;:&quot;Ren&quot;,&quot;given&quot;:&quot;Jie&quot;,&quot;parse-names&quot;:false,&quot;dropping-particle&quot;:&quot;&quot;,&quot;non-dropping-particle&quot;:&quot;&quot;},{&quot;family&quot;:&quot;Zhao&quot;,&quot;given&quot;:&quot;Xiao Yan&quot;,&quot;parse-names&quot;:false,&quot;dropping-particle&quot;:&quot;&quot;,&quot;non-dropping-particle&quot;:&quot;&quot;},{&quot;family&quot;:&quot;Wei&quot;,&quot;given&quot;:&quot;Xian Yong&quot;,&quot;parse-names&quot;:false,&quot;dropping-particle&quot;:&quot;&quot;,&quot;non-dropping-particle&quot;:&quot;&quot;},{&quot;family&quot;:&quot;Takarada&quot;,&quot;given&quot;:&quot;Takayuki&quot;,&quot;parse-names&quot;:false,&quot;dropping-particle&quot;:&quot;&quot;,&quot;non-dropping-particle&quot;:&quot;&quot;}],&quot;container-title&quot;:&quot;Fuel&quot;,&quot;accessed&quot;:{&quot;date-parts&quot;:[[2024,2,15]]},&quot;DOI&quot;:&quot;10.1016/J.FUEL.2017.12.121&quot;,&quot;ISSN&quot;:&quot;0016-2361&quot;,&quot;issued&quot;:{&quot;date-parts&quot;:[[2018,4,1]]},&quot;page&quot;:&quot;515-521&quot;,&quot;abstract&quot;:&quot;Toluene as a model tar compound was used to study the effect of atmosphere on carbon deposition during biomass tar reforming. A novel Ni-loaded on lignite char (Ni/LC) and commercial Ni/Al2O3 was employed for stability evaluation in a thermogravimetric analyzer. The mechanism of coke formation under N2, H2 and steam with different steam/carbon (S/C) ratio were investigated during 5 h test. Nickel particle growth is the main reasons responsible for the deactivation of Ni-based catalysts for tar reforming. Steam remarkably suppressed the carbon deposition on Ni/Al2O3, especially in a high S/C ratio. Ni/Al2O3 exhibited high activity and stability for 5 h operation in S/C ratio of 2. H2 significantly promoted the carbon deposition on Ni/Al2O3 and caused the catalyst deactivation within 0.5 h. Ni/LC exhibited great resistance to coke deposition under inert and H2 reforming of toluene. The catalysts before and after catalytic cracking were characterized by X-ray diffraction and transmission electron microscopy to investigate the behavior of carbon deposition. Except for H2 reforming, an obvious change of the Ni crystallite size (NCS) can be found after reforming for 5 h under all conditions used in this study. The NCS in Ni/LC was significantly increased with increasing time and S/C ratio, which should be partly responsible for the deactivation of the Ni/LC.&quot;,&quot;publisher&quot;:&quot;Elsevier&quot;,&quot;volume&quot;:&quot;217&quot;,&quot;container-title-short&quot;:&quot;&quot;},&quot;isTemporary&quot;:false}]},{&quot;citationID&quot;:&quot;MENDELEY_CITATION_e07013b5-de31-4122-8e22-4c4a8a46cec2&quot;,&quot;properties&quot;:{&quot;noteIndex&quot;:0},&quot;isEdited&quot;:false,&quot;manualOverride&quot;:{&quot;isManuallyOverridden&quot;:true,&quot;citeprocText&quot;:&quot;(Tacconi et al., 2022)&quot;,&quot;manualOverrideText&quot;:&quot;(Tacconi et al., 2022)(Tacconi et al., 2022)(Tacconi et al., 2022)(Tacconi et al., 2022)&quot;},&quot;citationTag&quot;:&quot;MENDELEY_CITATION_v3_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&quot;,&quot;citationItems&quot;:[{&quot;id&quot;:&quot;94c3dc4b-a76c-3535-9faf-d4e1b19231a0&quot;,&quot;itemData&quot;:{&quot;type&quot;:&quot;article-journal&quot;,&quot;id&quot;:&quot;94c3dc4b-a76c-3535-9faf-d4e1b19231a0&quot;,&quot;title&quot;:&quot;Laboratory-Scale Study of Nickel-Catalyst Pellets Performance for Tar Steam Reforming Obtained from Biomass Gasification&quot;,&quot;author&quot;:[{&quot;family&quot;:&quot;Tacconi&quot;,&quot;given&quot;:&quot;Alessandra&quot;,&quot;parse-names&quot;:false,&quot;dropping-particle&quot;:&quot;&quot;,&quot;non-dropping-particle&quot;:&quot;&quot;},{&quot;family&quot;:&quot;Savuto&quot;,&quot;given&quot;:&quot;Elisa&quot;,&quot;parse-names&quot;:false,&quot;dropping-particle&quot;:&quot;&quot;,&quot;non-dropping-particle&quot;:&quot;&quot;},{&quot;family&quot;:&quot;Giuliano&quot;,&quot;given&quot;:&quot;Andrea&quot;,&quot;parse-names&quot;:false,&quot;dropping-particle&quot;:&quot;&quot;,&quot;non-dropping-particle&quot;:&quot;Di&quot;},{&quot;family&quot;:&quot;Carlo&quot;,&quot;given&quot;:&quot;Andrea&quot;,&quot;parse-names&quot;:false,&quot;dropping-particle&quot;:&quot;&quot;,&quot;non-dropping-particle&quot;:&quot;Di&quot;}],&quot;container-title&quot;:&quot;Chemical Engineering Transactions&quot;,&quot;container-title-short&quot;:&quot;Chem Eng Trans&quot;,&quot;DOI&quot;:&quot;10.3303/CET2292110&quot;,&quot;ISBN&quot;:&quot;9788895608907&quot;,&quot;ISSN&quot;:&quot;22839216&quot;,&quot;issued&quot;:{&quot;date-parts&quot;:[[2022]]},&quot;page&quot;:&quot;655-660&quot;,&quot;abstract&quot;:&quot;Biomass steam gasification is a promising solution to obtain an H2-rich syngas to be exploited in high temperature SOFC to produce electricity with high efficiency and a reduced environmental impact. The aim of the H2020 BLAZE project is to integrate a dual fluidized bed biomass gasifier with a 25 kWe SOFC. Tars, in any case, have been identified as one of the major impurities in biomass gasification fuel gas, causing degradation of the anodes of the SOFC due to carbon deposition. Hot gas cleaning and conditioning using ceramic filter candles, filled with an annular packed-bed of commercial nickel-based catalyst, has been identified as the best solution to convert tars and reduce them to few hundreds of mg Nm-3. This work reports the results obtained in one task of the BLAZE project, in which two different commercial catalysts supplied by Johnson Matthey (catalyst A and catalyst B) have been tested at micro-reactor scale to evaluate their activity for the steam reforming of tar with the presence of sulfur compounds, which act as catalyst deactivators, and at temperatures comparable with those obtainable in biomass steam gasification. The main objective of this work was to evaluate which catalyst could be used inside the filter candles in the BLAZE power plant and which are the best operating conditions to have a conversion of tar as required for the SOFC. Twelve tests were conducted, six for each catalyst, varying both the temperature (750, 800 and 850 °C) and the concentration of thiophene in the pseudo-tar solution fed, a compound used to simulate the sulfur compounds deactivators of the catalyst (one with 50 ppm of thiophene, the other with 100 ppm). The results show that the hydrocarbons conversion increases (reaching 100%) with increasing temperature and decreasing thiophene concentration. Furthermore, catalyst A showed better performance than B.&quot;,&quot;issue&quot;:&quot;March&quot;,&quot;volume&quot;:&quot;92&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2661</Words>
  <Characters>15169</Characters>
  <Application>Microsoft Office Word</Application>
  <DocSecurity>0</DocSecurity>
  <Lines>126</Lines>
  <Paragraphs>35</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Alessandro Antonio Papa</cp:lastModifiedBy>
  <cp:revision>3</cp:revision>
  <cp:lastPrinted>2023-12-03T13:13:00Z</cp:lastPrinted>
  <dcterms:created xsi:type="dcterms:W3CDTF">2024-02-26T22:15:00Z</dcterms:created>
  <dcterms:modified xsi:type="dcterms:W3CDTF">2024-02-29T15:47:00Z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